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Calibri" w:hAnsi="Calibri"/>
          <w:b/>
          <w:color w:val="FFCC66"/>
          <w:sz w:val="56"/>
        </w:rPr>
        <w:t>Plataforma Unificada do Estado</w:t>
        <w:br/>
        <w:t>Decisão Técnica (TAD) e Estrutura Tecnológica</w:t>
      </w:r>
    </w:p>
    <w:p>
      <w:pPr>
        <w:pStyle w:val="Subtítulo"/>
        <w:jc w:val="center"/>
      </w:pPr>
      <w:r>
        <w:rPr>
          <w:rFonts w:ascii="Calibri" w:hAnsi="Calibri"/>
          <w:b w:val="0"/>
          <w:color w:val="E8EEF4"/>
          <w:sz w:val="28"/>
        </w:rPr>
        <w:t>Modelo global de arquitectura — simples por desenho, segura por defeito</w:t>
      </w:r>
    </w:p>
    <w:p>
      <w:pPr>
        <w:jc w:val="center"/>
      </w:pPr>
      <w:r>
        <w:rPr>
          <w:rFonts w:ascii="Calibri" w:hAnsi="Calibri"/>
          <w:b w:val="0"/>
          <w:color w:val="B4BEC8"/>
          <w:sz w:val="22"/>
        </w:rPr>
        <w:t>Versão 1.0  •  Data: 06/11/2025</w:t>
      </w:r>
    </w:p>
    <w:p>
      <w:r>
        <w:br w:type="page"/>
      </w:r>
    </w:p>
    <w:p>
      <w:pPr>
        <w:pStyle w:val="Heading1"/>
      </w:pPr>
      <w:r>
        <w:t>Índice</w:t>
      </w:r>
    </w:p>
    <w:p>
      <w:fldSimple w:instr="TOC \o &quot;1-3&quot; \h \z \u"/>
    </w:p>
    <w:p>
      <w:pPr>
        <w:pStyle w:val="Subtítulo"/>
      </w:pPr>
      <w:r>
        <w:t>Nota: após abrir no Word, use “Actualizar Índice” para gerar a paginação.</w:t>
      </w:r>
    </w:p>
    <w:p>
      <w:r>
        <w:br w:type="page"/>
      </w:r>
    </w:p>
    <w:p>
      <w:pPr>
        <w:pStyle w:val="Heading1"/>
      </w:pPr>
      <w:r>
        <w:t>1. Contexto e Objectivos</w:t>
      </w:r>
    </w:p>
    <w:p>
      <w:r>
        <w:t>Este documento define as decisões técnicas fundacionais para a Plataforma Unificada do Estado (PUE): uma arquitectura browser-first, com servidores Linux Ubuntu LTS, software open‑source por defeito, dados soberanos em PostgreSQL e operação disciplinada por GitOps. O objectivo é reduzir entropia, unificar a experiência (um portal, um gateway, um catálogo de APIs) e elevar segurança, disponibilidade e velocidade de entrega.</w:t>
      </w:r>
    </w:p>
    <w:p>
      <w:r>
        <w:t>A PUE assenta em dois data centers governamentais activos (Lisboa e Porto) com replicação em tempo real, suportando tolerância a falhas de rede e de aplicações, e garantindo continuidade de negócio com RTO/RPO definidos por camada.</w:t>
      </w:r>
    </w:p>
    <w:p>
      <w:pPr>
        <w:pStyle w:val="Heading1"/>
      </w:pPr>
      <w:r>
        <w:t>2. Princípios e Não‑Objectivos</w:t>
      </w:r>
    </w:p>
    <w:p>
      <w:pPr>
        <w:pStyle w:val="Heading2"/>
      </w:pPr>
      <w:r>
        <w:t>2.1 Princípios</w:t>
      </w:r>
    </w:p>
    <w:p>
      <w:r>
        <w:t>• Browser-first e PWA para cidadania digital universal.</w:t>
      </w:r>
    </w:p>
    <w:p>
      <w:r>
        <w:t>• OSS-first: evitar lock-in; priorizar padrões abertos (OpenAPI, OIDC, SAML, eIDAS).</w:t>
      </w:r>
    </w:p>
    <w:p>
      <w:r>
        <w:t>• Simplicidade radical: um portal, um gateway, um catálogo de APIs. Sem cascatas de portais/gateways.</w:t>
      </w:r>
    </w:p>
    <w:p>
      <w:r>
        <w:t>• Modular Monolith por domínio: limites claros, menos componentes, maior robustez.</w:t>
      </w:r>
    </w:p>
    <w:p>
      <w:r>
        <w:t>• Zero Trust por defeito: tudo autenticado, autorizado e encriptado (mTLS).</w:t>
      </w:r>
    </w:p>
    <w:p>
      <w:r>
        <w:t>• Observabilidade total e FinOps para gerir desempenho e custo por serviço.</w:t>
      </w:r>
    </w:p>
    <w:p>
      <w:r>
        <w:t>• Acessibilidade e ética: WCAG 2.2 AA e privacidade (RGPD) desde a concepção.</w:t>
      </w:r>
    </w:p>
    <w:p>
      <w:r>
        <w:t>• Infra como Código e GitOps: reprodutibilidade, auditoria e segurança na mudança.</w:t>
      </w:r>
    </w:p>
    <w:p>
      <w:pPr>
        <w:pStyle w:val="Heading2"/>
      </w:pPr>
      <w:r>
        <w:t>2.2 Não‑Objectivos</w:t>
      </w:r>
    </w:p>
    <w:p>
      <w:r>
        <w:t>• Não criar ESBs pesados ou múltiplos portais setoriais.</w:t>
      </w:r>
    </w:p>
    <w:p>
      <w:r>
        <w:t>• Não promover micro‑serviços indiscriminadamente; usar apenas onde o custo/benefício o justifique.</w:t>
      </w:r>
    </w:p>
    <w:p>
      <w:r>
        <w:t>• Não introduzir tecnologias fora do catálogo sem ADR aprovada.</w:t>
      </w:r>
    </w:p>
    <w:p>
      <w:pPr>
        <w:pStyle w:val="Heading1"/>
      </w:pPr>
      <w:r>
        <w:t>3. Decisões Tecnológicas (Resumo)</w:t>
      </w:r>
    </w:p>
    <w:p>
      <w:r>
        <w:t>• Portal Único: Front‑end React+TypeScript com Design System do Estado; PWA; WCAG 2.2 AA.</w:t>
      </w:r>
    </w:p>
    <w:p>
      <w:r>
        <w:t>• Gateway Único: Envoy ou Traefik com mTLS, WAF (OWASP CRS), rate‑limit e logging unificado.</w:t>
      </w:r>
    </w:p>
    <w:p>
      <w:r>
        <w:t>• Identidade: Keycloak (OIDC/SAML), MFA/WebAuthn, integração eIDAS/Cartão de Cidadão.</w:t>
      </w:r>
    </w:p>
    <w:p>
      <w:r>
        <w:t>• Back‑end: Padrões: FastAPI (Python) e Spring Boot (Java); APIs OpenAPI; gRPC interno quando necessário.</w:t>
      </w:r>
    </w:p>
    <w:p>
      <w:r>
        <w:t>• Dados OLTP: PostgreSQL 16+ com Patroni (HA). Citus/Timescale conforme necessidade de escala ou séries temporais.</w:t>
      </w:r>
    </w:p>
    <w:p>
      <w:r>
        <w:t>• Objectos: Ceph (S3 RGW / RBD) com snapshots e política WORM para backups imutáveis.</w:t>
      </w:r>
    </w:p>
    <w:p>
      <w:r>
        <w:t>• Analítica: ClickHouse para consultas rápidas; Apache Superset para BI; catálogo Apache Atlas e qualidade com Great Expectations.</w:t>
      </w:r>
    </w:p>
    <w:p>
      <w:r>
        <w:t>• Eventos: NATS para eventos/filas; Debezium (CDC) quando a integração for via logs de BD.</w:t>
      </w:r>
    </w:p>
    <w:p>
      <w:r>
        <w:t>• Kubernetes: Clusters upstream sobre Ubuntu + containerd, um por DC; GitOps (Argo CD); OPA/Gatekeeper para políticas.</w:t>
      </w:r>
    </w:p>
    <w:p>
      <w:r>
        <w:t>• Segurança: Wazuh, Suricata, Zeek, Velociraptor; gestão de segredos com OpenBao (Vault OSS) + HSM; assinatura de imagens (cosign).</w:t>
      </w:r>
    </w:p>
    <w:p>
      <w:pPr>
        <w:pStyle w:val="Heading1"/>
      </w:pPr>
      <w:r>
        <w:t>4. Estrutura Tecnológica</w:t>
      </w:r>
    </w:p>
    <w:p>
      <w:r>
        <w:t>Matriz de camadas com tecnologias padrão, alternativas aprovadas e observações operacionais.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Camada</w:t>
            </w:r>
          </w:p>
        </w:tc>
        <w:tc>
          <w:tcPr>
            <w:tcW w:type="dxa" w:w="2436"/>
          </w:tcPr>
          <w:p>
            <w:r>
              <w:t>Padrão (Tecnologia)</w:t>
            </w:r>
          </w:p>
        </w:tc>
        <w:tc>
          <w:tcPr>
            <w:tcW w:type="dxa" w:w="2436"/>
          </w:tcPr>
          <w:p>
            <w:r>
              <w:t>Alternativas Aprovadas</w:t>
            </w:r>
          </w:p>
        </w:tc>
        <w:tc>
          <w:tcPr>
            <w:tcW w:type="dxa" w:w="2436"/>
          </w:tcPr>
          <w:p>
            <w:r>
              <w:t>Observações</w:t>
            </w:r>
          </w:p>
        </w:tc>
      </w:tr>
      <w:tr>
        <w:tc>
          <w:tcPr>
            <w:tcW w:type="dxa" w:w="2436"/>
          </w:tcPr>
          <w:p>
            <w:r>
              <w:t>Experiência (Web/PWA)</w:t>
            </w:r>
          </w:p>
        </w:tc>
        <w:tc>
          <w:tcPr>
            <w:tcW w:type="dxa" w:w="2436"/>
          </w:tcPr>
          <w:p>
            <w:r>
              <w:t>React+TS; Design System; WCAG 2.2</w:t>
            </w:r>
          </w:p>
        </w:tc>
        <w:tc>
          <w:tcPr>
            <w:tcW w:type="dxa" w:w="2436"/>
          </w:tcPr>
          <w:p>
            <w:r>
              <w:t>Vue (casos justificados)</w:t>
            </w:r>
          </w:p>
        </w:tc>
        <w:tc>
          <w:tcPr>
            <w:tcW w:type="dxa" w:w="2436"/>
          </w:tcPr>
          <w:p>
            <w:r>
              <w:t>Um portal único com workspaces por perfil.</w:t>
            </w:r>
          </w:p>
        </w:tc>
      </w:tr>
      <w:tr>
        <w:tc>
          <w:tcPr>
            <w:tcW w:type="dxa" w:w="2436"/>
          </w:tcPr>
          <w:p>
            <w:r>
              <w:t>Gateway de Entrada</w:t>
            </w:r>
          </w:p>
        </w:tc>
        <w:tc>
          <w:tcPr>
            <w:tcW w:type="dxa" w:w="2436"/>
          </w:tcPr>
          <w:p>
            <w:r>
              <w:t>Envoy/Traefik; mTLS; WAF (OWASP CRS)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Sem cascatas de gateways; logs centralizados.</w:t>
            </w:r>
          </w:p>
        </w:tc>
      </w:tr>
      <w:tr>
        <w:tc>
          <w:tcPr>
            <w:tcW w:type="dxa" w:w="2436"/>
          </w:tcPr>
          <w:p>
            <w:r>
              <w:t>Identidade e AAM</w:t>
            </w:r>
          </w:p>
        </w:tc>
        <w:tc>
          <w:tcPr>
            <w:tcW w:type="dxa" w:w="2436"/>
          </w:tcPr>
          <w:p>
            <w:r>
              <w:t>Keycloak (OIDC/SAML); MFA/WebAuthn; eIDAS/CC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Sessões curtas; políticas de acesso por papel; mapeamento de atributos.</w:t>
            </w:r>
          </w:p>
        </w:tc>
      </w:tr>
      <w:tr>
        <w:tc>
          <w:tcPr>
            <w:tcW w:type="dxa" w:w="2436"/>
          </w:tcPr>
          <w:p>
            <w:r>
              <w:t>Back‑end</w:t>
            </w:r>
          </w:p>
        </w:tc>
        <w:tc>
          <w:tcPr>
            <w:tcW w:type="dxa" w:w="2436"/>
          </w:tcPr>
          <w:p>
            <w:r>
              <w:t>FastAPI (Python) / Spring Boot (Java)</w:t>
            </w:r>
          </w:p>
        </w:tc>
        <w:tc>
          <w:tcPr>
            <w:tcW w:type="dxa" w:w="2436"/>
          </w:tcPr>
          <w:p>
            <w:r>
              <w:t>gRPC interno</w:t>
            </w:r>
          </w:p>
        </w:tc>
        <w:tc>
          <w:tcPr>
            <w:tcW w:type="dxa" w:w="2436"/>
          </w:tcPr>
          <w:p>
            <w:r>
              <w:t>Modular monolith por domínio; OpenAPI obrigatório.</w:t>
            </w:r>
          </w:p>
        </w:tc>
      </w:tr>
      <w:tr>
        <w:tc>
          <w:tcPr>
            <w:tcW w:type="dxa" w:w="2436"/>
          </w:tcPr>
          <w:p>
            <w:r>
              <w:t>Eventos &amp; Integração</w:t>
            </w:r>
          </w:p>
        </w:tc>
        <w:tc>
          <w:tcPr>
            <w:tcW w:type="dxa" w:w="2436"/>
          </w:tcPr>
          <w:p>
            <w:r>
              <w:t>NATS (pub/sub, filas)</w:t>
            </w:r>
          </w:p>
        </w:tc>
        <w:tc>
          <w:tcPr>
            <w:tcW w:type="dxa" w:w="2436"/>
          </w:tcPr>
          <w:p>
            <w:r>
              <w:t>Debezium (CDC)</w:t>
            </w:r>
          </w:p>
        </w:tc>
        <w:tc>
          <w:tcPr>
            <w:tcW w:type="dxa" w:w="2436"/>
          </w:tcPr>
          <w:p>
            <w:r>
              <w:t>Evitar ESBs pesados; integração leve e observável.</w:t>
            </w:r>
          </w:p>
        </w:tc>
      </w:tr>
      <w:tr>
        <w:tc>
          <w:tcPr>
            <w:tcW w:type="dxa" w:w="2436"/>
          </w:tcPr>
          <w:p>
            <w:r>
              <w:t>Dados OLTP</w:t>
            </w:r>
          </w:p>
        </w:tc>
        <w:tc>
          <w:tcPr>
            <w:tcW w:type="dxa" w:w="2436"/>
          </w:tcPr>
          <w:p>
            <w:r>
              <w:t>PostgreSQL 16+ (Patroni)</w:t>
            </w:r>
          </w:p>
        </w:tc>
        <w:tc>
          <w:tcPr>
            <w:tcW w:type="dxa" w:w="2436"/>
          </w:tcPr>
          <w:p>
            <w:r>
              <w:t>Citus; TimescaleDB</w:t>
            </w:r>
          </w:p>
        </w:tc>
        <w:tc>
          <w:tcPr>
            <w:tcW w:type="dxa" w:w="2436"/>
          </w:tcPr>
          <w:p>
            <w:r>
              <w:t>HA com quórum; índices e partições por workload.</w:t>
            </w:r>
          </w:p>
        </w:tc>
      </w:tr>
      <w:tr>
        <w:tc>
          <w:tcPr>
            <w:tcW w:type="dxa" w:w="2436"/>
          </w:tcPr>
          <w:p>
            <w:r>
              <w:t>Object Storage</w:t>
            </w:r>
          </w:p>
        </w:tc>
        <w:tc>
          <w:tcPr>
            <w:tcW w:type="dxa" w:w="2436"/>
          </w:tcPr>
          <w:p>
            <w:r>
              <w:t>Ceph (S3 RGW / RBD)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Snapshots; políticas WORM; versionamento.</w:t>
            </w:r>
          </w:p>
        </w:tc>
      </w:tr>
      <w:tr>
        <w:tc>
          <w:tcPr>
            <w:tcW w:type="dxa" w:w="2436"/>
          </w:tcPr>
          <w:p>
            <w:r>
              <w:t>Analítica/BI</w:t>
            </w:r>
          </w:p>
        </w:tc>
        <w:tc>
          <w:tcPr>
            <w:tcW w:type="dxa" w:w="2436"/>
          </w:tcPr>
          <w:p>
            <w:r>
              <w:t>ClickHouse; Superset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Catálogo de dados (Atlas) e qualidade (GE) obrigatórios.</w:t>
            </w:r>
          </w:p>
        </w:tc>
      </w:tr>
      <w:tr>
        <w:tc>
          <w:tcPr>
            <w:tcW w:type="dxa" w:w="2436"/>
          </w:tcPr>
          <w:p>
            <w:r>
              <w:t>Plataforma</w:t>
            </w:r>
          </w:p>
        </w:tc>
        <w:tc>
          <w:tcPr>
            <w:tcW w:type="dxa" w:w="2436"/>
          </w:tcPr>
          <w:p>
            <w:r>
              <w:t>Kubernetes (Ubuntu + containerd)</w:t>
            </w:r>
          </w:p>
        </w:tc>
        <w:tc>
          <w:tcPr>
            <w:tcW w:type="dxa" w:w="2436"/>
          </w:tcPr>
          <w:p>
            <w:r>
              <w:t>OpenStack para IaaS</w:t>
            </w:r>
          </w:p>
        </w:tc>
        <w:tc>
          <w:tcPr>
            <w:tcW w:type="dxa" w:w="2436"/>
          </w:tcPr>
          <w:p>
            <w:r>
              <w:t>GitOps (Argo CD); políticas OPA; cosign em imagens.</w:t>
            </w:r>
          </w:p>
        </w:tc>
      </w:tr>
      <w:tr>
        <w:tc>
          <w:tcPr>
            <w:tcW w:type="dxa" w:w="2436"/>
          </w:tcPr>
          <w:p>
            <w:r>
              <w:t>Observabilidade</w:t>
            </w:r>
          </w:p>
        </w:tc>
        <w:tc>
          <w:tcPr>
            <w:tcW w:type="dxa" w:w="2436"/>
          </w:tcPr>
          <w:p>
            <w:r>
              <w:t>Prometheus, Loki, Tempo, Grafana</w:t>
            </w:r>
          </w:p>
        </w:tc>
        <w:tc>
          <w:tcPr>
            <w:tcW w:type="dxa" w:w="2436"/>
          </w:tcPr>
          <w:p>
            <w:r>
              <w:t>OpenTelemetry</w:t>
            </w:r>
          </w:p>
        </w:tc>
        <w:tc>
          <w:tcPr>
            <w:tcW w:type="dxa" w:w="2436"/>
          </w:tcPr>
          <w:p>
            <w:r>
              <w:t>Traços fim‑a‑fim; SLO por serviço.</w:t>
            </w:r>
          </w:p>
        </w:tc>
      </w:tr>
      <w:tr>
        <w:tc>
          <w:tcPr>
            <w:tcW w:type="dxa" w:w="2436"/>
          </w:tcPr>
          <w:p>
            <w:r>
              <w:t>Segurança</w:t>
            </w:r>
          </w:p>
        </w:tc>
        <w:tc>
          <w:tcPr>
            <w:tcW w:type="dxa" w:w="2436"/>
          </w:tcPr>
          <w:p>
            <w:r>
              <w:t>Wazuh; Suricata; Zeek; Velociraptor</w:t>
            </w:r>
          </w:p>
        </w:tc>
        <w:tc>
          <w:tcPr>
            <w:tcW w:type="dxa" w:w="2436"/>
          </w:tcPr>
          <w:p>
            <w:r>
              <w:t>RASP quando necessário</w:t>
            </w:r>
          </w:p>
        </w:tc>
        <w:tc>
          <w:tcPr>
            <w:tcW w:type="dxa" w:w="2436"/>
          </w:tcPr>
          <w:p>
            <w:r>
              <w:t>Detecção de anomalias; playbooks de resposta.</w:t>
            </w:r>
          </w:p>
        </w:tc>
      </w:tr>
      <w:tr>
        <w:tc>
          <w:tcPr>
            <w:tcW w:type="dxa" w:w="2436"/>
          </w:tcPr>
          <w:p>
            <w:r>
              <w:t>Segredos</w:t>
            </w:r>
          </w:p>
        </w:tc>
        <w:tc>
          <w:tcPr>
            <w:tcW w:type="dxa" w:w="2436"/>
          </w:tcPr>
          <w:p>
            <w:r>
              <w:t>OpenBao (Vault OSS) + HSM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Rotação automática e mTLS com SPIFFE/SPIRE (quando adoptado).</w:t>
            </w:r>
          </w:p>
        </w:tc>
      </w:tr>
      <w:tr>
        <w:tc>
          <w:tcPr>
            <w:tcW w:type="dxa" w:w="2436"/>
          </w:tcPr>
          <w:p>
            <w:r>
              <w:t>CI/CD</w:t>
            </w:r>
          </w:p>
        </w:tc>
        <w:tc>
          <w:tcPr>
            <w:tcW w:type="dxa" w:w="2436"/>
          </w:tcPr>
          <w:p>
            <w:r>
              <w:t>GitLab CE; Harbor; Argo CD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Pipelines SAST/DAST; assinatura e policy enforcement.</w:t>
            </w:r>
          </w:p>
        </w:tc>
      </w:tr>
      <w:tr>
        <w:tc>
          <w:tcPr>
            <w:tcW w:type="dxa" w:w="2436"/>
          </w:tcPr>
          <w:p>
            <w:r>
              <w:t>IaC</w:t>
            </w:r>
          </w:p>
        </w:tc>
        <w:tc>
          <w:tcPr>
            <w:tcW w:type="dxa" w:w="2436"/>
          </w:tcPr>
          <w:p>
            <w:r>
              <w:t>Terraform; Ansible</w:t>
            </w:r>
          </w:p>
        </w:tc>
        <w:tc>
          <w:tcPr>
            <w:tcW w:type="dxa" w:w="2436"/>
          </w:tcPr>
          <w:p>
            <w:r>
              <w:t>—</w:t>
            </w:r>
          </w:p>
        </w:tc>
        <w:tc>
          <w:tcPr>
            <w:tcW w:type="dxa" w:w="2436"/>
          </w:tcPr>
          <w:p>
            <w:r>
              <w:t>Reprodutibilidade e auditoria integral.</w:t>
            </w:r>
          </w:p>
        </w:tc>
      </w:tr>
    </w:tbl>
    <w:p>
      <w:pPr>
        <w:pStyle w:val="Heading1"/>
      </w:pPr>
      <w:r>
        <w:t>5. Alta Disponibilidade, DR e Metas de Serviço</w:t>
      </w:r>
    </w:p>
    <w:p>
      <w:r>
        <w:t>Dois data centers activos (Lisboa e Porto). Replicação PostgreSQL síncrona intra‑DC e síncrona/quase‑síncrona inter‑DC conforme latência. Ceph multi‑site (RBD mirroring / S3 multi‑region). Witness governamental para quórum.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Camada</w:t>
            </w:r>
          </w:p>
        </w:tc>
        <w:tc>
          <w:tcPr>
            <w:tcW w:type="dxa" w:w="2436"/>
          </w:tcPr>
          <w:p>
            <w:r>
              <w:t>Disponibilidade</w:t>
            </w:r>
          </w:p>
        </w:tc>
        <w:tc>
          <w:tcPr>
            <w:tcW w:type="dxa" w:w="2436"/>
          </w:tcPr>
          <w:p>
            <w:r>
              <w:t>RTO (máx.)</w:t>
            </w:r>
          </w:p>
        </w:tc>
        <w:tc>
          <w:tcPr>
            <w:tcW w:type="dxa" w:w="2436"/>
          </w:tcPr>
          <w:p>
            <w:r>
              <w:t>RPO (máx.)</w:t>
            </w:r>
          </w:p>
        </w:tc>
      </w:tr>
      <w:tr>
        <w:tc>
          <w:tcPr>
            <w:tcW w:type="dxa" w:w="2436"/>
          </w:tcPr>
          <w:p>
            <w:r>
              <w:t>Identidade / DNS / Rede</w:t>
            </w:r>
          </w:p>
        </w:tc>
        <w:tc>
          <w:tcPr>
            <w:tcW w:type="dxa" w:w="2436"/>
          </w:tcPr>
          <w:p>
            <w:r>
              <w:t>≥ 99,99%</w:t>
            </w:r>
          </w:p>
        </w:tc>
        <w:tc>
          <w:tcPr>
            <w:tcW w:type="dxa" w:w="2436"/>
          </w:tcPr>
          <w:p>
            <w:r>
              <w:t>5 min</w:t>
            </w:r>
          </w:p>
        </w:tc>
        <w:tc>
          <w:tcPr>
            <w:tcW w:type="dxa" w:w="2436"/>
          </w:tcPr>
          <w:p>
            <w:r>
              <w:t>0–30 s</w:t>
            </w:r>
          </w:p>
        </w:tc>
      </w:tr>
      <w:tr>
        <w:tc>
          <w:tcPr>
            <w:tcW w:type="dxa" w:w="2436"/>
          </w:tcPr>
          <w:p>
            <w:r>
              <w:t>Transaccionais (OLTP)</w:t>
            </w:r>
          </w:p>
        </w:tc>
        <w:tc>
          <w:tcPr>
            <w:tcW w:type="dxa" w:w="2436"/>
          </w:tcPr>
          <w:p>
            <w:r>
              <w:t>≥ 99,95%</w:t>
            </w:r>
          </w:p>
        </w:tc>
        <w:tc>
          <w:tcPr>
            <w:tcW w:type="dxa" w:w="2436"/>
          </w:tcPr>
          <w:p>
            <w:r>
              <w:t>15 min</w:t>
            </w:r>
          </w:p>
        </w:tc>
        <w:tc>
          <w:tcPr>
            <w:tcW w:type="dxa" w:w="2436"/>
          </w:tcPr>
          <w:p>
            <w:r>
              <w:t>&lt; 60 s</w:t>
            </w:r>
          </w:p>
        </w:tc>
      </w:tr>
      <w:tr>
        <w:tc>
          <w:tcPr>
            <w:tcW w:type="dxa" w:w="2436"/>
          </w:tcPr>
          <w:p>
            <w:r>
              <w:t>Analítica / BI</w:t>
            </w:r>
          </w:p>
        </w:tc>
        <w:tc>
          <w:tcPr>
            <w:tcW w:type="dxa" w:w="2436"/>
          </w:tcPr>
          <w:p>
            <w:r>
              <w:t>≥ 99,9%</w:t>
            </w:r>
          </w:p>
        </w:tc>
        <w:tc>
          <w:tcPr>
            <w:tcW w:type="dxa" w:w="2436"/>
          </w:tcPr>
          <w:p>
            <w:r>
              <w:t>60 min</w:t>
            </w:r>
          </w:p>
        </w:tc>
        <w:tc>
          <w:tcPr>
            <w:tcW w:type="dxa" w:w="2436"/>
          </w:tcPr>
          <w:p>
            <w:r>
              <w:t>≤ 5 min</w:t>
            </w:r>
          </w:p>
        </w:tc>
      </w:tr>
    </w:tbl>
    <w:p>
      <w:pPr>
        <w:pStyle w:val="Heading1"/>
      </w:pPr>
      <w:r>
        <w:t>6. Segurança (Zero Trust)</w:t>
      </w:r>
    </w:p>
    <w:p>
      <w:r>
        <w:t>• mTLS entre serviços; identidade de workload (SPIFFE/SPIRE quando aplicável).</w:t>
      </w:r>
    </w:p>
    <w:p>
      <w:r>
        <w:t>• Gestão de segredos com HSM; rotação automática; segregação de funções.</w:t>
      </w:r>
    </w:p>
    <w:p>
      <w:r>
        <w:t>• SIEM/EDR: Wazuh, Suricata, Zeek, Velociraptor; uso de IA para detecção de anomalias.</w:t>
      </w:r>
    </w:p>
    <w:p>
      <w:r>
        <w:t>• WAF no edge; RASP selectivo para aplicações críticas; baselines CIS para Ubuntu/Kubernetes.</w:t>
      </w:r>
    </w:p>
    <w:p>
      <w:r>
        <w:t>• RGPD: classificação de dados, pseudonimização, registos de auditoria imutáveis (WORM).</w:t>
      </w:r>
    </w:p>
    <w:p>
      <w:pPr>
        <w:pStyle w:val="Heading1"/>
      </w:pPr>
      <w:r>
        <w:t>7. Governação de APIs e Dados</w:t>
      </w:r>
    </w:p>
    <w:p>
      <w:r>
        <w:t>• Catálogo único de APIs (OpenAPI/AsyncAPI) — publicação obrigatória antes de ir a produção.</w:t>
      </w:r>
    </w:p>
    <w:p>
      <w:r>
        <w:t>• Versionamento: SemVer; APIs versionadas por cabeçalho ou caminho; depreciação com calendário.</w:t>
      </w:r>
    </w:p>
    <w:p>
      <w:r>
        <w:t>• Catálogo de dados (Apache Atlas); qualidade com Great Expectations; contratos de dados por domínio.</w:t>
      </w:r>
    </w:p>
    <w:p>
      <w:r>
        <w:t>• Partilha por eventos (NATS) e por CDC (Debezium) quando apropriado; proibida a ligação directa a BD de outro domínio.</w:t>
      </w:r>
    </w:p>
    <w:p>
      <w:pPr>
        <w:pStyle w:val="Heading1"/>
      </w:pPr>
      <w:r>
        <w:t>8. Padrões de Entrega e Operação</w:t>
      </w:r>
    </w:p>
    <w:p>
      <w:r>
        <w:t>• CI/CD em GitLab: SAST/DAST, testes, assinatura de imagens (cosign), promoção por ambiente.</w:t>
      </w:r>
    </w:p>
    <w:p>
      <w:r>
        <w:t>• GitOps (Argo CD): todo o estado declarativo; *drift detection* e auditoria de mudanças.</w:t>
      </w:r>
    </w:p>
    <w:p>
      <w:r>
        <w:t>• Observabilidade obrigatória: métricas, logs e traços; SLO por serviço e *error budget*.</w:t>
      </w:r>
    </w:p>
    <w:p>
      <w:r>
        <w:t>• FinOps: custo por serviço/domínio; *showback/chargeback* por ministério; metas de eficiência.</w:t>
      </w:r>
    </w:p>
    <w:p>
      <w:r>
        <w:t>• Exercícios de DR trimestrais com relatório público dos resultados e acções correctivas.</w:t>
      </w:r>
    </w:p>
    <w:p>
      <w:pPr>
        <w:pStyle w:val="Heading1"/>
      </w:pPr>
      <w:r>
        <w:t>9. Fases de Implantação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3249"/>
        <w:gridCol w:w="3249"/>
        <w:gridCol w:w="3249"/>
      </w:tblGrid>
      <w:tr>
        <w:tc>
          <w:tcPr>
            <w:tcW w:type="dxa" w:w="3249"/>
          </w:tcPr>
          <w:p>
            <w:r>
              <w:t>Fase</w:t>
            </w:r>
          </w:p>
        </w:tc>
        <w:tc>
          <w:tcPr>
            <w:tcW w:type="dxa" w:w="3249"/>
          </w:tcPr>
          <w:p>
            <w:r>
              <w:t>Conteúdo</w:t>
            </w:r>
          </w:p>
        </w:tc>
        <w:tc>
          <w:tcPr>
            <w:tcW w:type="dxa" w:w="3249"/>
          </w:tcPr>
          <w:p>
            <w:r>
              <w:t>Janela</w:t>
            </w:r>
          </w:p>
        </w:tc>
      </w:tr>
      <w:tr>
        <w:tc>
          <w:tcPr>
            <w:tcW w:type="dxa" w:w="3249"/>
          </w:tcPr>
          <w:p>
            <w:r>
              <w:t>0 — Fundações</w:t>
            </w:r>
          </w:p>
        </w:tc>
        <w:tc>
          <w:tcPr>
            <w:tcW w:type="dxa" w:w="3249"/>
          </w:tcPr>
          <w:p>
            <w:r>
              <w:t>Baselines de segurança; Keycloak; gateway único; GitLab/Harbor; observabilidade; padrões UX.</w:t>
            </w:r>
          </w:p>
        </w:tc>
        <w:tc>
          <w:tcPr>
            <w:tcW w:type="dxa" w:w="3249"/>
          </w:tcPr>
          <w:p>
            <w:r>
              <w:t>0–3 meses</w:t>
            </w:r>
          </w:p>
        </w:tc>
      </w:tr>
      <w:tr>
        <w:tc>
          <w:tcPr>
            <w:tcW w:type="dxa" w:w="3249"/>
          </w:tcPr>
          <w:p>
            <w:r>
              <w:t>1 — Núcleo de Dados &amp; DR</w:t>
            </w:r>
          </w:p>
        </w:tc>
        <w:tc>
          <w:tcPr>
            <w:tcW w:type="dxa" w:w="3249"/>
          </w:tcPr>
          <w:p>
            <w:r>
              <w:t>PostgreSQL/Patroni; Ceph multi‑site; backups imutáveis; clusters K8s Lx/Pt.</w:t>
            </w:r>
          </w:p>
        </w:tc>
        <w:tc>
          <w:tcPr>
            <w:tcW w:type="dxa" w:w="3249"/>
          </w:tcPr>
          <w:p>
            <w:r>
              <w:t>3–6 meses</w:t>
            </w:r>
          </w:p>
        </w:tc>
      </w:tr>
      <w:tr>
        <w:tc>
          <w:tcPr>
            <w:tcW w:type="dxa" w:w="3249"/>
          </w:tcPr>
          <w:p>
            <w:r>
              <w:t>2 — PUE &amp; Pilotos</w:t>
            </w:r>
          </w:p>
        </w:tc>
        <w:tc>
          <w:tcPr>
            <w:tcW w:type="dxa" w:w="3249"/>
          </w:tcPr>
          <w:p>
            <w:r>
              <w:t>Portal Único; 2–3 domínios piloto (agendamento, pagamentos, dossiê do cidadão).</w:t>
            </w:r>
          </w:p>
        </w:tc>
        <w:tc>
          <w:tcPr>
            <w:tcW w:type="dxa" w:w="3249"/>
          </w:tcPr>
          <w:p>
            <w:r>
              <w:t>6–12 meses</w:t>
            </w:r>
          </w:p>
        </w:tc>
      </w:tr>
      <w:tr>
        <w:tc>
          <w:tcPr>
            <w:tcW w:type="dxa" w:w="3249"/>
          </w:tcPr>
          <w:p>
            <w:r>
              <w:t>3 — Escala</w:t>
            </w:r>
          </w:p>
        </w:tc>
        <w:tc>
          <w:tcPr>
            <w:tcW w:type="dxa" w:w="3249"/>
          </w:tcPr>
          <w:p>
            <w:r>
              <w:t>Expansão por domínios; desligar legados; analítica ClickHouse; IA de segurança.</w:t>
            </w:r>
          </w:p>
        </w:tc>
        <w:tc>
          <w:tcPr>
            <w:tcW w:type="dxa" w:w="3249"/>
          </w:tcPr>
          <w:p>
            <w:r>
              <w:t>12–24 meses</w:t>
            </w:r>
          </w:p>
        </w:tc>
      </w:tr>
      <w:tr>
        <w:tc>
          <w:tcPr>
            <w:tcW w:type="dxa" w:w="3249"/>
          </w:tcPr>
          <w:p>
            <w:r>
              <w:t>4 — Optimização Contínua</w:t>
            </w:r>
          </w:p>
        </w:tc>
        <w:tc>
          <w:tcPr>
            <w:tcW w:type="dxa" w:w="3249"/>
          </w:tcPr>
          <w:p>
            <w:r>
              <w:t>SLA/SLO por serviço; DR drills; governação de dados madura.</w:t>
            </w:r>
          </w:p>
        </w:tc>
        <w:tc>
          <w:tcPr>
            <w:tcW w:type="dxa" w:w="3249"/>
          </w:tcPr>
          <w:p>
            <w:r>
              <w:t>24+ meses</w:t>
            </w:r>
          </w:p>
        </w:tc>
      </w:tr>
    </w:tbl>
    <w:p>
      <w:pPr>
        <w:pStyle w:val="Heading1"/>
      </w:pPr>
      <w:r>
        <w:t>10. Métricas de Sucesso</w:t>
      </w:r>
    </w:p>
    <w:p>
      <w:r>
        <w:t>• Simplicidade: portais reduzidos a 1; gateways a 1; catálogos duplicados = 0.</w:t>
      </w:r>
    </w:p>
    <w:p>
      <w:r>
        <w:t>• Qualidade: erros 5xx &lt; 0,1%; *lead time* de *deploy* &lt; 1 dia; MTTR &lt; 30 min.</w:t>
      </w:r>
    </w:p>
    <w:p>
      <w:r>
        <w:t>• Resiliência: uptime ≥ 99,95%; RPO crítico ≤ 30 s.</w:t>
      </w:r>
    </w:p>
    <w:p>
      <w:r>
        <w:t>• Segurança: CVEs críticas corrigidas &lt; 7 dias; *phishing click-rate* ↓ 70%.</w:t>
      </w:r>
    </w:p>
    <w:p>
      <w:r>
        <w:t>• Custos: custo por transacção decrescente (FinOps).</w:t>
      </w:r>
    </w:p>
    <w:p>
      <w:pPr>
        <w:pStyle w:val="Heading1"/>
      </w:pPr>
      <w:r>
        <w:t>11. Riscos &amp; Mitigações</w:t>
      </w:r>
    </w:p>
    <w:p>
      <w:r>
        <w:t>• Resistência organizacional → mitigação: patrocínio executivo e incentivos de consolidação.</w:t>
      </w:r>
    </w:p>
    <w:p>
      <w:r>
        <w:t>• Déficit de competências K8s/OSS → mitigação: academia interna, *pairing* com equipas piloto.</w:t>
      </w:r>
    </w:p>
    <w:p>
      <w:r>
        <w:t>• Latência inter‑DC → mitigação: afinação de quórum e *placement*; usar quase‑síncrona quando necessário.</w:t>
      </w:r>
    </w:p>
    <w:p>
      <w:r>
        <w:t>• Entropia tecnológica → mitigação: catálogo estrito e ADRs obrigatórias.</w:t>
      </w:r>
    </w:p>
    <w:p>
      <w:pPr>
        <w:pStyle w:val="Heading1"/>
      </w:pPr>
      <w:r>
        <w:t>12. Registos de Decisão (ADR) — Resumo</w:t>
      </w:r>
    </w:p>
    <w:p>
      <w:r>
        <w:t>ADR‑001 — Um Portal Único do Estado (PUE) — Aprovado.</w:t>
      </w:r>
    </w:p>
    <w:p>
      <w:r>
        <w:t>ADR‑002 — Gateway Único (Envoy/Traefik) — Aprovado.</w:t>
      </w:r>
    </w:p>
    <w:p>
      <w:r>
        <w:t>ADR‑003 — Identidade com Keycloak (OIDC/SAML) — Aprovado.</w:t>
      </w:r>
    </w:p>
    <w:p>
      <w:r>
        <w:t>ADR‑004 — Back‑end padrão FastAPI/Spring — Aprovado.</w:t>
      </w:r>
    </w:p>
    <w:p>
      <w:r>
        <w:t>ADR‑005 — Dados em PostgreSQL/Patroni — Aprovado.</w:t>
      </w:r>
    </w:p>
    <w:p>
      <w:r>
        <w:t>ADR‑006 — Object storage com Ceph — Aprovado.</w:t>
      </w:r>
    </w:p>
    <w:p>
      <w:r>
        <w:t>ADR‑007 — Analítica com ClickHouse/Superset — Aprovado.</w:t>
      </w:r>
    </w:p>
    <w:p>
      <w:r>
        <w:t>ADR‑008 — Eventos NATS + CDC Debezium — Aprovado.</w:t>
      </w:r>
    </w:p>
    <w:p>
      <w:r>
        <w:t>ADR‑009 — K8s (Ubuntu+containerd) + GitOps — Aprovado.</w:t>
      </w:r>
    </w:p>
    <w:p>
      <w:pPr>
        <w:pStyle w:val="Heading1"/>
      </w:pPr>
      <w:r>
        <w:t>13. Figuras</w:t>
      </w:r>
    </w:p>
    <w:p>
      <w:r>
        <w:drawing>
          <wp:inline xmlns:a="http://schemas.openxmlformats.org/drawingml/2006/main" xmlns:pic="http://schemas.openxmlformats.org/drawingml/2006/picture">
            <wp:extent cx="6126480" cy="40843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UE_diagrama_logic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40843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t>Figura 1 — Diagrama lógico (completo)</w:t>
      </w:r>
    </w:p>
    <w:p>
      <w:r>
        <w:drawing>
          <wp:inline xmlns:a="http://schemas.openxmlformats.org/drawingml/2006/main" xmlns:pic="http://schemas.openxmlformats.org/drawingml/2006/picture">
            <wp:extent cx="6126480" cy="3369564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UE_diagrama_logico_LIT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36956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t>Figura 2 — Diagrama lógico (LITE)</w:t>
      </w:r>
    </w:p>
    <w:p>
      <w:pPr>
        <w:pStyle w:val="Heading1"/>
      </w:pPr>
      <w:r>
        <w:t>14. Anexos</w:t>
      </w:r>
    </w:p>
    <w:p>
      <w:r>
        <w:t>A. Baselines CIS (Ubuntu/Kubernetes) — lista de controlo resumida.</w:t>
      </w:r>
    </w:p>
    <w:p>
      <w:r>
        <w:t>B. Modelos de SLO e *error budgets*.</w:t>
      </w:r>
    </w:p>
    <w:p>
      <w:r>
        <w:t>C. Templates de ADR.</w:t>
      </w:r>
    </w:p>
    <w:p>
      <w:r>
        <w:t>D. Playbooks de resposta a incidentes (IR).</w:t>
      </w:r>
    </w:p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ubtítulo">
    <w:name w:val="Subtítulo"/>
    <w:rPr>
      <w:rFonts w:ascii="Calibri Light" w:hAnsi="Calibri Light"/>
      <w:color w:val="C8D2DC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