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52"/>
        </w:rPr>
        <w:t>Plano Operacional de Migração — Domínio Piloto</w:t>
        <w:br/>
        <w:t>Agendamento do Cidadão</w:t>
      </w:r>
    </w:p>
    <w:p>
      <w:pPr>
        <w:jc w:val="center"/>
      </w:pPr>
      <w:r>
        <w:rPr>
          <w:color w:val="E8EEF4"/>
          <w:sz w:val="24"/>
        </w:rPr>
        <w:t>PUE — Plataforma Unificada do Estado</w:t>
      </w:r>
    </w:p>
    <w:p>
      <w:pPr>
        <w:jc w:val="center"/>
      </w:pPr>
      <w:r>
        <w:rPr>
          <w:color w:val="B4BEC8"/>
          <w:sz w:val="20"/>
        </w:rPr>
        <w:t>Versão 1.0  •  Data: 06/11/2025</w:t>
      </w:r>
    </w:p>
    <w:p>
      <w:pPr>
        <w:pStyle w:val="Heading1"/>
      </w:pPr>
      <w:r>
        <w:t>1. Escopo e Objectivos</w:t>
      </w:r>
    </w:p>
    <w:p>
      <w:r>
        <w:t>Implantar um serviço transversal de marcação de atendimentos para cidadãos e empresas, abarcando múltiplos organismos (p.ex., Registos, Finanças, Segurança Social), com experiência única via PUE, autenticação Keycloak (eIDAS/Cartão de Cidadão), notificações multi‑canal e calendários por serviço e localização.</w:t>
      </w:r>
    </w:p>
    <w:p>
      <w:r>
        <w:t>Objectivos: reduzir tempos de espera; consolidar sistemas de marcação dispersos; garantir acessibilidade WCAG 2.2 AA; obter métricas em tempo real e assegurar continuidade de serviço com replicação inter‑DC.</w:t>
      </w:r>
    </w:p>
    <w:p>
      <w:pPr>
        <w:pStyle w:val="Heading1"/>
      </w:pPr>
      <w:r>
        <w:t>2. MVP e Fora de Escopo</w:t>
      </w:r>
    </w:p>
    <w:p>
      <w:pPr>
        <w:pStyle w:val="Heading2"/>
      </w:pPr>
      <w:r>
        <w:t>2.1 MVP (Primeira Entrega)</w:t>
      </w:r>
    </w:p>
    <w:p>
      <w:r>
        <w:t>• Marcação, remarcação e cancelamento de agendamentos por canal web (PUE).</w:t>
      </w:r>
    </w:p>
    <w:p>
      <w:r>
        <w:t>• Gestão de slots por serviço e posto (capacidade, duração, janelas).</w:t>
      </w:r>
    </w:p>
    <w:p>
      <w:r>
        <w:t>• Notificações por e‑mail/SMS; ficheiro .ics para calendário pessoal.</w:t>
      </w:r>
    </w:p>
    <w:p>
      <w:r>
        <w:t>• Painel operacional (no‑show, taxa de ocupação, SLA de atendimento).</w:t>
      </w:r>
    </w:p>
    <w:p>
      <w:pPr>
        <w:pStyle w:val="Heading2"/>
      </w:pPr>
      <w:r>
        <w:t>2.2 Fora de Escopo (nesta fase)</w:t>
      </w:r>
    </w:p>
    <w:p>
      <w:r>
        <w:t>• Pagamentos associados ao agendamento (a incluir em fase posterior, se necessário).</w:t>
      </w:r>
    </w:p>
    <w:p>
      <w:r>
        <w:t>• Integrações com sistemas legados que não disponibilizem dados minimamente consistentes.</w:t>
      </w:r>
    </w:p>
    <w:p>
      <w:pPr>
        <w:pStyle w:val="Heading1"/>
      </w:pPr>
      <w:r>
        <w:t>3. Actores e Jornadas</w:t>
      </w:r>
    </w:p>
    <w:p>
      <w:r>
        <w:t>• Cidadão/Empresa: pesquisa por serviço/local, selecciona slot, confirma e recebe comprovativo.</w:t>
      </w:r>
    </w:p>
    <w:p>
      <w:r>
        <w:t>• Atendedor/Operador: abre calendário, ajusta capacidade, faz *overbooking* controlado.</w:t>
      </w:r>
    </w:p>
    <w:p>
      <w:r>
        <w:t>• Administrador de Serviço: configura regras, horários, feriados e tipologias.</w:t>
      </w:r>
    </w:p>
    <w:p>
      <w:r>
        <w:t>• Plataforma (automação): envia lembretes, aplica políticas de *no‑show*, gera relatórios.</w:t>
      </w:r>
    </w:p>
    <w:p>
      <w:pPr>
        <w:pStyle w:val="Heading1"/>
      </w:pPr>
      <w:r>
        <w:t>4. Requisitos Não‑Funcionais e SLO</w:t>
      </w:r>
    </w:p>
    <w:p>
      <w:r>
        <w:t>• Disponibilidade alvo (SLO): 99,95%/30 dias; Identidade: 99,99%.</w:t>
      </w:r>
    </w:p>
    <w:p>
      <w:r>
        <w:t>• Latência p95: ≤ 300 ms para operações de leitura; ≤ 800 ms para criação de agendamento.</w:t>
      </w:r>
    </w:p>
    <w:p>
      <w:r>
        <w:t>• Erro ≤ 0,1% das requisições; *throttling* e *backoff* no gateway.</w:t>
      </w:r>
    </w:p>
    <w:p>
      <w:r>
        <w:t>• Acessibilidade: WCAG 2.2 AA; testes de leitor de ecrã e contraste.</w:t>
      </w:r>
    </w:p>
    <w:p>
      <w:pPr>
        <w:pStyle w:val="Heading1"/>
      </w:pPr>
      <w:r>
        <w:t>5. Modelo de Dados (alto nível)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3249"/>
        <w:gridCol w:w="3249"/>
        <w:gridCol w:w="3249"/>
      </w:tblGrid>
      <w:tr>
        <w:tc>
          <w:tcPr>
            <w:tcW w:type="dxa" w:w="3249"/>
          </w:tcPr>
          <w:p>
            <w:r>
              <w:t>Entidade</w:t>
            </w:r>
          </w:p>
        </w:tc>
        <w:tc>
          <w:tcPr>
            <w:tcW w:type="dxa" w:w="3249"/>
          </w:tcPr>
          <w:p>
            <w:r>
              <w:t>Atributos‑chave</w:t>
            </w:r>
          </w:p>
        </w:tc>
        <w:tc>
          <w:tcPr>
            <w:tcW w:type="dxa" w:w="3249"/>
          </w:tcPr>
          <w:p>
            <w:r>
              <w:t>Notas</w:t>
            </w:r>
          </w:p>
        </w:tc>
      </w:tr>
      <w:tr>
        <w:tc>
          <w:tcPr>
            <w:tcW w:type="dxa" w:w="3249"/>
          </w:tcPr>
          <w:p>
            <w:r>
              <w:t>Serviço</w:t>
            </w:r>
          </w:p>
        </w:tc>
        <w:tc>
          <w:tcPr>
            <w:tcW w:type="dxa" w:w="3249"/>
          </w:tcPr>
          <w:p>
            <w:r>
              <w:t>service_id, nome, tipologia, requisitos</w:t>
            </w:r>
          </w:p>
        </w:tc>
        <w:tc>
          <w:tcPr>
            <w:tcW w:type="dxa" w:w="3249"/>
          </w:tcPr>
          <w:p>
            <w:r>
              <w:t>Catálogo de serviços por organismo.</w:t>
            </w:r>
          </w:p>
        </w:tc>
      </w:tr>
      <w:tr>
        <w:tc>
          <w:tcPr>
            <w:tcW w:type="dxa" w:w="3249"/>
          </w:tcPr>
          <w:p>
            <w:r>
              <w:t>Local/Posto</w:t>
            </w:r>
          </w:p>
        </w:tc>
        <w:tc>
          <w:tcPr>
            <w:tcW w:type="dxa" w:w="3249"/>
          </w:tcPr>
          <w:p>
            <w:r>
              <w:t>site_id, morada, geografia, capacidade</w:t>
            </w:r>
          </w:p>
        </w:tc>
        <w:tc>
          <w:tcPr>
            <w:tcW w:type="dxa" w:w="3249"/>
          </w:tcPr>
          <w:p>
            <w:r>
              <w:t>Mapeamento para filas físicas.</w:t>
            </w:r>
          </w:p>
        </w:tc>
      </w:tr>
      <w:tr>
        <w:tc>
          <w:tcPr>
            <w:tcW w:type="dxa" w:w="3249"/>
          </w:tcPr>
          <w:p>
            <w:r>
              <w:t>Calendário</w:t>
            </w:r>
          </w:p>
        </w:tc>
        <w:tc>
          <w:tcPr>
            <w:tcW w:type="dxa" w:w="3249"/>
          </w:tcPr>
          <w:p>
            <w:r>
              <w:t>calendar_id, janelas, feriados, *blackout*</w:t>
            </w:r>
          </w:p>
        </w:tc>
        <w:tc>
          <w:tcPr>
            <w:tcW w:type="dxa" w:w="3249"/>
          </w:tcPr>
          <w:p>
            <w:r>
              <w:t>Regras por serviço/posto.</w:t>
            </w:r>
          </w:p>
        </w:tc>
      </w:tr>
      <w:tr>
        <w:tc>
          <w:tcPr>
            <w:tcW w:type="dxa" w:w="3249"/>
          </w:tcPr>
          <w:p>
            <w:r>
              <w:t>Slot</w:t>
            </w:r>
          </w:p>
        </w:tc>
        <w:tc>
          <w:tcPr>
            <w:tcW w:type="dxa" w:w="3249"/>
          </w:tcPr>
          <w:p>
            <w:r>
              <w:t>slot_id, inicio, fim, capacidade, estado</w:t>
            </w:r>
          </w:p>
        </w:tc>
        <w:tc>
          <w:tcPr>
            <w:tcW w:type="dxa" w:w="3249"/>
          </w:tcPr>
          <w:p>
            <w:r>
              <w:t>Disponibilidade calculada + reservas.</w:t>
            </w:r>
          </w:p>
        </w:tc>
      </w:tr>
      <w:tr>
        <w:tc>
          <w:tcPr>
            <w:tcW w:type="dxa" w:w="3249"/>
          </w:tcPr>
          <w:p>
            <w:r>
              <w:t>Agendamento</w:t>
            </w:r>
          </w:p>
        </w:tc>
        <w:tc>
          <w:tcPr>
            <w:tcW w:type="dxa" w:w="3249"/>
          </w:tcPr>
          <w:p>
            <w:r>
              <w:t>appt_id, citizen_id, service_id, slot_id, estado</w:t>
            </w:r>
          </w:p>
        </w:tc>
        <w:tc>
          <w:tcPr>
            <w:tcW w:type="dxa" w:w="3249"/>
          </w:tcPr>
          <w:p>
            <w:r>
              <w:t>Estados: activo, remarcado, cancelado, no‑show.</w:t>
            </w:r>
          </w:p>
        </w:tc>
      </w:tr>
      <w:tr>
        <w:tc>
          <w:tcPr>
            <w:tcW w:type="dxa" w:w="3249"/>
          </w:tcPr>
          <w:p>
            <w:r>
              <w:t>Cidadão</w:t>
            </w:r>
          </w:p>
        </w:tc>
        <w:tc>
          <w:tcPr>
            <w:tcW w:type="dxa" w:w="3249"/>
          </w:tcPr>
          <w:p>
            <w:r>
              <w:t>uuid, NIF/ID, contacto, consentimento</w:t>
            </w:r>
          </w:p>
        </w:tc>
        <w:tc>
          <w:tcPr>
            <w:tcW w:type="dxa" w:w="3249"/>
          </w:tcPr>
          <w:p>
            <w:r>
              <w:t>Dados mínimos; encriptação em repouso.</w:t>
            </w:r>
          </w:p>
        </w:tc>
      </w:tr>
    </w:tbl>
    <w:p>
      <w:pPr>
        <w:pStyle w:val="Heading1"/>
      </w:pPr>
      <w:r>
        <w:t>6. API (contratos principais)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Método</w:t>
            </w:r>
          </w:p>
        </w:tc>
        <w:tc>
          <w:tcPr>
            <w:tcW w:type="dxa" w:w="2436"/>
          </w:tcPr>
          <w:p>
            <w:r>
              <w:t>Endpoint</w:t>
            </w:r>
          </w:p>
        </w:tc>
        <w:tc>
          <w:tcPr>
            <w:tcW w:type="dxa" w:w="2436"/>
          </w:tcPr>
          <w:p>
            <w:r>
              <w:t>Descrição</w:t>
            </w:r>
          </w:p>
        </w:tc>
        <w:tc>
          <w:tcPr>
            <w:tcW w:type="dxa" w:w="2436"/>
          </w:tcPr>
          <w:p>
            <w:r>
              <w:t>Auth</w:t>
            </w:r>
          </w:p>
        </w:tc>
      </w:tr>
      <w:tr>
        <w:tc>
          <w:tcPr>
            <w:tcW w:type="dxa" w:w="2436"/>
          </w:tcPr>
          <w:p>
            <w:r>
              <w:t>GET</w:t>
            </w:r>
          </w:p>
        </w:tc>
        <w:tc>
          <w:tcPr>
            <w:tcW w:type="dxa" w:w="2436"/>
          </w:tcPr>
          <w:p>
            <w:r>
              <w:t>/v1/services</w:t>
            </w:r>
          </w:p>
        </w:tc>
        <w:tc>
          <w:tcPr>
            <w:tcW w:type="dxa" w:w="2436"/>
          </w:tcPr>
          <w:p>
            <w:r>
              <w:t>Listar serviços e requisitos.</w:t>
            </w:r>
          </w:p>
        </w:tc>
        <w:tc>
          <w:tcPr>
            <w:tcW w:type="dxa" w:w="2436"/>
          </w:tcPr>
          <w:p>
            <w:r>
              <w:t>Público</w:t>
            </w:r>
          </w:p>
        </w:tc>
      </w:tr>
      <w:tr>
        <w:tc>
          <w:tcPr>
            <w:tcW w:type="dxa" w:w="2436"/>
          </w:tcPr>
          <w:p>
            <w:r>
              <w:t>GET</w:t>
            </w:r>
          </w:p>
        </w:tc>
        <w:tc>
          <w:tcPr>
            <w:tcW w:type="dxa" w:w="2436"/>
          </w:tcPr>
          <w:p>
            <w:r>
              <w:t>/v1/slots?service_id&amp;site_id&amp;date</w:t>
            </w:r>
          </w:p>
        </w:tc>
        <w:tc>
          <w:tcPr>
            <w:tcW w:type="dxa" w:w="2436"/>
          </w:tcPr>
          <w:p>
            <w:r>
              <w:t>Consultar slots disponíveis.</w:t>
            </w:r>
          </w:p>
        </w:tc>
        <w:tc>
          <w:tcPr>
            <w:tcW w:type="dxa" w:w="2436"/>
          </w:tcPr>
          <w:p>
            <w:r>
              <w:t>Público</w:t>
            </w:r>
          </w:p>
        </w:tc>
      </w:tr>
      <w:tr>
        <w:tc>
          <w:tcPr>
            <w:tcW w:type="dxa" w:w="2436"/>
          </w:tcPr>
          <w:p>
            <w:r>
              <w:t>POST</w:t>
            </w:r>
          </w:p>
        </w:tc>
        <w:tc>
          <w:tcPr>
            <w:tcW w:type="dxa" w:w="2436"/>
          </w:tcPr>
          <w:p>
            <w:r>
              <w:t>/v1/appointments</w:t>
            </w:r>
          </w:p>
        </w:tc>
        <w:tc>
          <w:tcPr>
            <w:tcW w:type="dxa" w:w="2436"/>
          </w:tcPr>
          <w:p>
            <w:r>
              <w:t>Criar agendamento.</w:t>
            </w:r>
          </w:p>
        </w:tc>
        <w:tc>
          <w:tcPr>
            <w:tcW w:type="dxa" w:w="2436"/>
          </w:tcPr>
          <w:p>
            <w:r>
              <w:t>OIDC (Cidadão)</w:t>
            </w:r>
          </w:p>
        </w:tc>
      </w:tr>
      <w:tr>
        <w:tc>
          <w:tcPr>
            <w:tcW w:type="dxa" w:w="2436"/>
          </w:tcPr>
          <w:p>
            <w:r>
              <w:t>PATCH</w:t>
            </w:r>
          </w:p>
        </w:tc>
        <w:tc>
          <w:tcPr>
            <w:tcW w:type="dxa" w:w="2436"/>
          </w:tcPr>
          <w:p>
            <w:r>
              <w:t>/v1/appointments/{id}</w:t>
            </w:r>
          </w:p>
        </w:tc>
        <w:tc>
          <w:tcPr>
            <w:tcW w:type="dxa" w:w="2436"/>
          </w:tcPr>
          <w:p>
            <w:r>
              <w:t>Remarcar/alterar dados.</w:t>
            </w:r>
          </w:p>
        </w:tc>
        <w:tc>
          <w:tcPr>
            <w:tcW w:type="dxa" w:w="2436"/>
          </w:tcPr>
          <w:p>
            <w:r>
              <w:t>OIDC (Cidadão)</w:t>
            </w:r>
          </w:p>
        </w:tc>
      </w:tr>
      <w:tr>
        <w:tc>
          <w:tcPr>
            <w:tcW w:type="dxa" w:w="2436"/>
          </w:tcPr>
          <w:p>
            <w:r>
              <w:t>DELETE</w:t>
            </w:r>
          </w:p>
        </w:tc>
        <w:tc>
          <w:tcPr>
            <w:tcW w:type="dxa" w:w="2436"/>
          </w:tcPr>
          <w:p>
            <w:r>
              <w:t>/v1/appointments/{id}</w:t>
            </w:r>
          </w:p>
        </w:tc>
        <w:tc>
          <w:tcPr>
            <w:tcW w:type="dxa" w:w="2436"/>
          </w:tcPr>
          <w:p>
            <w:r>
              <w:t>Cancelar.</w:t>
            </w:r>
          </w:p>
        </w:tc>
        <w:tc>
          <w:tcPr>
            <w:tcW w:type="dxa" w:w="2436"/>
          </w:tcPr>
          <w:p>
            <w:r>
              <w:t>OIDC (Cidadão)</w:t>
            </w:r>
          </w:p>
        </w:tc>
      </w:tr>
      <w:tr>
        <w:tc>
          <w:tcPr>
            <w:tcW w:type="dxa" w:w="2436"/>
          </w:tcPr>
          <w:p>
            <w:r>
              <w:t>POST</w:t>
            </w:r>
          </w:p>
        </w:tc>
        <w:tc>
          <w:tcPr>
            <w:tcW w:type="dxa" w:w="2436"/>
          </w:tcPr>
          <w:p>
            <w:r>
              <w:t>/v1/appointments/{id}/notify</w:t>
            </w:r>
          </w:p>
        </w:tc>
        <w:tc>
          <w:tcPr>
            <w:tcW w:type="dxa" w:w="2436"/>
          </w:tcPr>
          <w:p>
            <w:r>
              <w:t>Reenviar comprovativo/ICS.</w:t>
            </w:r>
          </w:p>
        </w:tc>
        <w:tc>
          <w:tcPr>
            <w:tcW w:type="dxa" w:w="2436"/>
          </w:tcPr>
          <w:p>
            <w:r>
              <w:t>Operador</w:t>
            </w:r>
          </w:p>
        </w:tc>
      </w:tr>
    </w:tbl>
    <w:p>
      <w:pPr>
        <w:pStyle w:val="Heading1"/>
      </w:pPr>
      <w:r>
        <w:t>7. Integrações</w:t>
      </w:r>
    </w:p>
    <w:p>
      <w:r>
        <w:t>• Identidade: Keycloak (OIDC), MFA/WebAuthn; atributos mínimos (uuid, nome, e‑mail, NIF opcional).</w:t>
      </w:r>
    </w:p>
    <w:p>
      <w:r>
        <w:t>• Notificações: serviço de e‑mail e SMS governamental; *templates* por idioma.</w:t>
      </w:r>
    </w:p>
    <w:p>
      <w:r>
        <w:t>• Calendários: exportação ICS; *webhooks* para sincronização interna (NATS eventos).</w:t>
      </w:r>
    </w:p>
    <w:p>
      <w:r>
        <w:t>• Dados: PostgreSQL 16+ (Patroni); *CDC* Debezium para replicação analítica; Ceph S3 para anexos.</w:t>
      </w:r>
    </w:p>
    <w:p>
      <w:pPr>
        <w:pStyle w:val="Heading1"/>
      </w:pPr>
      <w:r>
        <w:t>8. Migração de Dados (do legado)</w:t>
      </w:r>
    </w:p>
    <w:p>
      <w:r>
        <w:t>• Inventariar sistemas actuais de marcação; avaliar qualidade e *mapping* para o novo modelo.</w:t>
      </w:r>
    </w:p>
    <w:p>
      <w:r>
        <w:t>• Planear migração incremental: apenas agendamentos futuros + últimas 8 semanas de histórico (RGPD).</w:t>
      </w:r>
    </w:p>
    <w:p>
      <w:r>
        <w:t>• Regras de limpeza: normalizar contactos, remover duplicados por hash (NIF+data+serviço).</w:t>
      </w:r>
    </w:p>
    <w:p>
      <w:r>
        <w:t>• *Dry run* em *staging* com relatórios de discrepâncias e correções.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Fonte</w:t>
            </w:r>
          </w:p>
        </w:tc>
        <w:tc>
          <w:tcPr>
            <w:tcW w:type="dxa" w:w="2436"/>
          </w:tcPr>
          <w:p>
            <w:r>
              <w:t>Tabelas</w:t>
            </w:r>
          </w:p>
        </w:tc>
        <w:tc>
          <w:tcPr>
            <w:tcW w:type="dxa" w:w="2436"/>
          </w:tcPr>
          <w:p>
            <w:r>
              <w:t>Registos (estim.)</w:t>
            </w:r>
          </w:p>
        </w:tc>
        <w:tc>
          <w:tcPr>
            <w:tcW w:type="dxa" w:w="2436"/>
          </w:tcPr>
          <w:p>
            <w:r>
              <w:t>Estado</w:t>
            </w:r>
          </w:p>
        </w:tc>
      </w:tr>
      <w:tr>
        <w:tc>
          <w:tcPr>
            <w:tcW w:type="dxa" w:w="2436"/>
          </w:tcPr>
          <w:p>
            <w:r>
              <w:t>Sist. A (Min. X)</w:t>
            </w:r>
          </w:p>
        </w:tc>
        <w:tc>
          <w:tcPr>
            <w:tcW w:type="dxa" w:w="2436"/>
          </w:tcPr>
          <w:p>
            <w:r>
              <w:t>appointments, slots, users</w:t>
            </w:r>
          </w:p>
        </w:tc>
        <w:tc>
          <w:tcPr>
            <w:tcW w:type="dxa" w:w="2436"/>
          </w:tcPr>
          <w:p>
            <w:r>
              <w:t>120 000</w:t>
            </w:r>
          </w:p>
        </w:tc>
        <w:tc>
          <w:tcPr>
            <w:tcW w:type="dxa" w:w="2436"/>
          </w:tcPr>
          <w:p>
            <w:r>
              <w:t>A mapear</w:t>
            </w:r>
          </w:p>
        </w:tc>
      </w:tr>
      <w:tr>
        <w:tc>
          <w:tcPr>
            <w:tcW w:type="dxa" w:w="2436"/>
          </w:tcPr>
          <w:p>
            <w:r>
              <w:t>Sist. B (Min. Y)</w:t>
            </w:r>
          </w:p>
        </w:tc>
        <w:tc>
          <w:tcPr>
            <w:tcW w:type="dxa" w:w="2436"/>
          </w:tcPr>
          <w:p>
            <w:r>
              <w:t>bookings, locations</w:t>
            </w:r>
          </w:p>
        </w:tc>
        <w:tc>
          <w:tcPr>
            <w:tcW w:type="dxa" w:w="2436"/>
          </w:tcPr>
          <w:p>
            <w:r>
              <w:t>45 000</w:t>
            </w:r>
          </w:p>
        </w:tc>
        <w:tc>
          <w:tcPr>
            <w:tcW w:type="dxa" w:w="2436"/>
          </w:tcPr>
          <w:p>
            <w:r>
              <w:t>Extract pronto</w:t>
            </w:r>
          </w:p>
        </w:tc>
      </w:tr>
    </w:tbl>
    <w:p>
      <w:pPr>
        <w:pStyle w:val="Heading1"/>
      </w:pPr>
      <w:r>
        <w:t>9. Segurança e RGPD</w:t>
      </w:r>
    </w:p>
    <w:p>
      <w:r>
        <w:t>• Dados pessoais mínimos; encriptação AES‑GCM em repouso e TLS 1.3 em trânsito.</w:t>
      </w:r>
    </w:p>
    <w:p>
      <w:r>
        <w:t>• Retenção: 24 meses para *audit trail*; anonimização dos registos aos 12 meses salvo obrigação legal.</w:t>
      </w:r>
    </w:p>
    <w:p>
      <w:r>
        <w:t>• *Consent logs* por canal; *DPIA/LIA* concluídas; *least privilege* e *NetworkPolicies* por namespace.</w:t>
      </w:r>
    </w:p>
    <w:p>
      <w:r>
        <w:t>• Auditoria: logs imutáveis (WORM), correlação no SIEM (Wazuh).</w:t>
      </w:r>
    </w:p>
    <w:p>
      <w:pPr>
        <w:pStyle w:val="Heading1"/>
      </w:pPr>
      <w:r>
        <w:t>10. Testes e Aceitação</w:t>
      </w:r>
    </w:p>
    <w:p>
      <w:r>
        <w:t>• Funcionais: CRUD completo de agendamento; regras de conflito de slots; políticas de *no‑show*.</w:t>
      </w:r>
    </w:p>
    <w:p>
      <w:r>
        <w:t>• Carga: 1 000 RPS leitura, 150 RPS criação; *spikes* em T‑24h de campanhas públicas.</w:t>
      </w:r>
    </w:p>
    <w:p>
      <w:r>
        <w:t>• Acessibilidade: teclado, ARIA, contraste e suporte a leitores de ecrã verificados.</w:t>
      </w:r>
    </w:p>
    <w:p>
      <w:r>
        <w:t>• Segurança: DAST/ZAP *baseline*, *secrets scanning* (Gitleaks), SAST no pipeline.</w:t>
      </w:r>
    </w:p>
    <w:p>
      <w:pPr>
        <w:pStyle w:val="Heading1"/>
      </w:pPr>
      <w:r>
        <w:t>11. Operação e Suporte</w:t>
      </w:r>
    </w:p>
    <w:p>
      <w:r>
        <w:t>• Alertas primários: p95 latência, taxa de erros, saturação DB, filas de *jobs* de notificações.</w:t>
      </w:r>
    </w:p>
    <w:p>
      <w:r>
        <w:t>• *Runbooks*: falha de gateway, *drain* de nós K8s, *failover* Patroni, reenvio massivo de SMS.</w:t>
      </w:r>
    </w:p>
    <w:p>
      <w:r>
        <w:t>• Helpdesk: *scripts* de 1.º nível e *FAQ* PUE; *status page* pública com incidentes.</w:t>
      </w:r>
    </w:p>
    <w:p>
      <w:pPr>
        <w:pStyle w:val="Heading1"/>
      </w:pPr>
      <w:r>
        <w:t>12. Cutover — Checklist Específica</w:t>
      </w:r>
    </w:p>
    <w:p>
      <w:r>
        <w:t>T−7 dias: congelar alterações nos sistemas legados; gerar *snapshot* de slots/agenda.</w:t>
      </w:r>
    </w:p>
    <w:p>
      <w:r>
        <w:t>T−1 dia: *dry run* final; enviar comunicação a utentes com agendamentos T+7.</w:t>
      </w:r>
    </w:p>
    <w:p>
      <w:r>
        <w:t>T±0: executar migração; *smoke tests* (pesquisa, reservar, cancelar); monitorização apertada 2 h.</w:t>
      </w:r>
    </w:p>
    <w:p>
      <w:r>
        <w:t>T+1/T+7: relatórios de adesão, *no‑show*, queima de orçamento de erros; *post‑mortem* se necessário.</w:t>
      </w:r>
    </w:p>
    <w:p>
      <w:pPr>
        <w:pStyle w:val="Heading1"/>
      </w:pPr>
      <w:r>
        <w:t>13. RACI (Domínio Piloto)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949"/>
        <w:gridCol w:w="1949"/>
        <w:gridCol w:w="1949"/>
        <w:gridCol w:w="1949"/>
        <w:gridCol w:w="1949"/>
      </w:tblGrid>
      <w:tr>
        <w:tc>
          <w:tcPr>
            <w:tcW w:type="dxa" w:w="1949"/>
          </w:tcPr>
          <w:p>
            <w:r>
              <w:t>Tarefa</w:t>
            </w:r>
          </w:p>
        </w:tc>
        <w:tc>
          <w:tcPr>
            <w:tcW w:type="dxa" w:w="1949"/>
          </w:tcPr>
          <w:p>
            <w:r>
              <w:t>Responsável (R)</w:t>
            </w:r>
          </w:p>
        </w:tc>
        <w:tc>
          <w:tcPr>
            <w:tcW w:type="dxa" w:w="1949"/>
          </w:tcPr>
          <w:p>
            <w:r>
              <w:t>Aprovador (A)</w:t>
            </w:r>
          </w:p>
        </w:tc>
        <w:tc>
          <w:tcPr>
            <w:tcW w:type="dxa" w:w="1949"/>
          </w:tcPr>
          <w:p>
            <w:r>
              <w:t>Consultado (C)</w:t>
            </w:r>
          </w:p>
        </w:tc>
        <w:tc>
          <w:tcPr>
            <w:tcW w:type="dxa" w:w="1949"/>
          </w:tcPr>
          <w:p>
            <w:r>
              <w:t>Informado (I)</w:t>
            </w:r>
          </w:p>
        </w:tc>
      </w:tr>
      <w:tr>
        <w:tc>
          <w:tcPr>
            <w:tcW w:type="dxa" w:w="1949"/>
          </w:tcPr>
          <w:p>
            <w:r>
              <w:t>Modelação de dados</w:t>
            </w:r>
          </w:p>
        </w:tc>
        <w:tc>
          <w:tcPr>
            <w:tcW w:type="dxa" w:w="1949"/>
          </w:tcPr>
          <w:p>
            <w:r>
              <w:t>DBA Domínio</w:t>
            </w:r>
          </w:p>
        </w:tc>
        <w:tc>
          <w:tcPr>
            <w:tcW w:type="dxa" w:w="1949"/>
          </w:tcPr>
          <w:p>
            <w:r>
              <w:t>Arq. Dados</w:t>
            </w:r>
          </w:p>
        </w:tc>
        <w:tc>
          <w:tcPr>
            <w:tcW w:type="dxa" w:w="1949"/>
          </w:tcPr>
          <w:p>
            <w:r>
              <w:t>Negócio, Segurança</w:t>
            </w:r>
          </w:p>
        </w:tc>
        <w:tc>
          <w:tcPr>
            <w:tcW w:type="dxa" w:w="1949"/>
          </w:tcPr>
          <w:p>
            <w:r>
              <w:t>Equipa Plataforma</w:t>
            </w:r>
          </w:p>
        </w:tc>
      </w:tr>
      <w:tr>
        <w:tc>
          <w:tcPr>
            <w:tcW w:type="dxa" w:w="1949"/>
          </w:tcPr>
          <w:p>
            <w:r>
              <w:t>Desenho de APIs</w:t>
            </w:r>
          </w:p>
        </w:tc>
        <w:tc>
          <w:tcPr>
            <w:tcW w:type="dxa" w:w="1949"/>
          </w:tcPr>
          <w:p>
            <w:r>
              <w:t>Equipa Domínio</w:t>
            </w:r>
          </w:p>
        </w:tc>
        <w:tc>
          <w:tcPr>
            <w:tcW w:type="dxa" w:w="1949"/>
          </w:tcPr>
          <w:p>
            <w:r>
              <w:t>Arq. Aplicacional</w:t>
            </w:r>
          </w:p>
        </w:tc>
        <w:tc>
          <w:tcPr>
            <w:tcW w:type="dxa" w:w="1949"/>
          </w:tcPr>
          <w:p>
            <w:r>
              <w:t>Plataforma, Segurança</w:t>
            </w:r>
          </w:p>
        </w:tc>
        <w:tc>
          <w:tcPr>
            <w:tcW w:type="dxa" w:w="1949"/>
          </w:tcPr>
          <w:p>
            <w:r>
              <w:t>Negócio</w:t>
            </w:r>
          </w:p>
        </w:tc>
      </w:tr>
      <w:tr>
        <w:tc>
          <w:tcPr>
            <w:tcW w:type="dxa" w:w="1949"/>
          </w:tcPr>
          <w:p>
            <w:r>
              <w:t>Migração de dados</w:t>
            </w:r>
          </w:p>
        </w:tc>
        <w:tc>
          <w:tcPr>
            <w:tcW w:type="dxa" w:w="1949"/>
          </w:tcPr>
          <w:p>
            <w:r>
              <w:t>Equipa Domínio</w:t>
            </w:r>
          </w:p>
        </w:tc>
        <w:tc>
          <w:tcPr>
            <w:tcW w:type="dxa" w:w="1949"/>
          </w:tcPr>
          <w:p>
            <w:r>
              <w:t>Gestor Programa</w:t>
            </w:r>
          </w:p>
        </w:tc>
        <w:tc>
          <w:tcPr>
            <w:tcW w:type="dxa" w:w="1949"/>
          </w:tcPr>
          <w:p>
            <w:r>
              <w:t>DBA, Segurança</w:t>
            </w:r>
          </w:p>
        </w:tc>
        <w:tc>
          <w:tcPr>
            <w:tcW w:type="dxa" w:w="1949"/>
          </w:tcPr>
          <w:p>
            <w:r>
              <w:t>Negócio</w:t>
            </w:r>
          </w:p>
        </w:tc>
      </w:tr>
      <w:tr>
        <w:tc>
          <w:tcPr>
            <w:tcW w:type="dxa" w:w="1949"/>
          </w:tcPr>
          <w:p>
            <w:r>
              <w:t>Testes WCAG</w:t>
            </w:r>
          </w:p>
        </w:tc>
        <w:tc>
          <w:tcPr>
            <w:tcW w:type="dxa" w:w="1949"/>
          </w:tcPr>
          <w:p>
            <w:r>
              <w:t>UX/QA</w:t>
            </w:r>
          </w:p>
        </w:tc>
        <w:tc>
          <w:tcPr>
            <w:tcW w:type="dxa" w:w="1949"/>
          </w:tcPr>
          <w:p>
            <w:r>
              <w:t>Gestor Domínio</w:t>
            </w:r>
          </w:p>
        </w:tc>
        <w:tc>
          <w:tcPr>
            <w:tcW w:type="dxa" w:w="1949"/>
          </w:tcPr>
          <w:p>
            <w:r>
              <w:t>Negócio</w:t>
            </w:r>
          </w:p>
        </w:tc>
        <w:tc>
          <w:tcPr>
            <w:tcW w:type="dxa" w:w="1949"/>
          </w:tcPr>
          <w:p>
            <w:r>
              <w:t>Plataforma</w:t>
            </w:r>
          </w:p>
        </w:tc>
      </w:tr>
    </w:tbl>
    <w:p>
      <w:pPr>
        <w:pStyle w:val="Heading1"/>
      </w:pPr>
      <w:r>
        <w:t>14. Go/No‑Go — Condições para Produção</w:t>
      </w:r>
    </w:p>
    <w:p>
      <w:r>
        <w:t>• SLOs cumpridos em *staging* durante 7 dias; sem *P1* abertas; DR test (PITR) validado.</w:t>
      </w:r>
    </w:p>
    <w:p>
      <w:r>
        <w:t>• Aprovação de acessibilidade (WCAG AA) e de segurança (DAST/SAST sem críticos).</w:t>
      </w:r>
    </w:p>
    <w:p>
      <w:r>
        <w:t>• Helpdesk preparado; comunicação ao público pronta; *rollback* ensaiado.</w:t>
      </w:r>
    </w:p>
    <w:p>
      <w:pPr>
        <w:pStyle w:val="Heading1"/>
      </w:pPr>
      <w:r>
        <w:t>15. Indicadores de Sucesso (KPIs)</w:t>
      </w:r>
    </w:p>
    <w:p>
      <w:r>
        <w:t>• Tempo médio de marcação &lt; 2 minutos; *drop‑off* no funil &lt; 10%.</w:t>
      </w:r>
    </w:p>
    <w:p>
      <w:r>
        <w:t>• *No‑show* &lt; 8% (com lembretes automáticos); taxa de ocupação de slots &gt; 85%.</w:t>
      </w:r>
    </w:p>
    <w:p>
      <w:r>
        <w:t>• Satisfação do utente ≥ 4/5; taxa de erro &lt; 0,1%.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