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color w:val="FFCC66"/>
          <w:sz w:val="48"/>
        </w:rPr>
        <w:t>Anexo D — Playbooks de Resposta a Incidentes</w:t>
      </w:r>
    </w:p>
    <w:p>
      <w:pPr>
        <w:jc w:val="center"/>
      </w:pPr>
      <w:r>
        <w:rPr>
          <w:color w:val="E8EEF4"/>
          <w:sz w:val="24"/>
        </w:rPr>
        <w:t>Detecção, Contenção, Erradicação, Recuperação e Pós‑Incidente</w:t>
      </w:r>
    </w:p>
    <w:p>
      <w:pPr>
        <w:jc w:val="center"/>
      </w:pPr>
      <w:r>
        <w:rPr>
          <w:color w:val="B4BEC8"/>
          <w:sz w:val="20"/>
        </w:rPr>
        <w:t>Data: 06/11/2025</w:t>
      </w:r>
    </w:p>
    <w:p>
      <w:pPr>
        <w:pStyle w:val="Heading2"/>
      </w:pPr>
      <w:r>
        <w:t>D.1 Compromisso de Credenciais (phishing / sessão)</w:t>
      </w:r>
    </w:p>
    <w:p>
      <w:r>
        <w:t>Detecção:</w:t>
        <w:br/>
        <w:t>• Alertas do IdP (Keycloak): falhas de MFA, logins anómalos, IPs improváveis.</w:t>
        <w:br/>
        <w:t>• SIEM: correlação de eventos e uso fora de horário.</w:t>
      </w:r>
    </w:p>
    <w:p>
      <w:r>
        <w:t>Contenção:</w:t>
        <w:br/>
        <w:t>• Reset forçado de tokens e sessões para contas afectadas.</w:t>
        <w:br/>
        <w:t>• Aumentar requisitos de MFA temporariamente para o domínio afectado.</w:t>
      </w:r>
    </w:p>
    <w:p>
      <w:r>
        <w:t>Erradicação:</w:t>
        <w:br/>
        <w:t>• Reimagem de estações comprometidas; rotação de segredos.</w:t>
        <w:br/>
        <w:t>• Caça de indicadores (IOC) em endpoints e logs.</w:t>
      </w:r>
    </w:p>
    <w:p>
      <w:r>
        <w:t>Recuperação:</w:t>
        <w:br/>
        <w:t>• Restaurar acessos mínimos; monitorizar por 14 dias.</w:t>
        <w:br/>
        <w:t>• Treino rápido anti‑phishing para equipa impactada.</w:t>
      </w:r>
    </w:p>
    <w:p>
      <w:r>
        <w:t>Pós‑Incidente:</w:t>
        <w:br/>
        <w:t>• Lições aprendidas em 72 h; melhoria de regras do IdP e de deteção no SIEM.</w:t>
      </w:r>
    </w:p>
    <w:p>
      <w:pPr>
        <w:pStyle w:val="Heading2"/>
      </w:pPr>
      <w:r>
        <w:t>D.2 Ransomware / Cripto‑malware</w:t>
      </w:r>
    </w:p>
    <w:p>
      <w:r>
        <w:t>Detecção:</w:t>
        <w:br/>
        <w:t>• Detecção via EDR/Wazuh (criptação massiva, processos suspeitos).</w:t>
      </w:r>
    </w:p>
    <w:p>
      <w:r>
        <w:t>Contenção:</w:t>
        <w:br/>
        <w:t>• Isolar segmentos/rede; bloquear C2; desligar partilhas.</w:t>
      </w:r>
    </w:p>
    <w:p>
      <w:r>
        <w:t>Erradicação:</w:t>
        <w:br/>
        <w:t>• Remover binários maliciosos; aplicar patches; reimagem dos hosts.</w:t>
      </w:r>
    </w:p>
    <w:p>
      <w:r>
        <w:t>Recuperação:</w:t>
        <w:br/>
        <w:t>• Restaurar de backups imutáveis (pgBackRest/Ceph) após validação.</w:t>
        <w:br/>
        <w:t>• Verificação de integridade de dados.</w:t>
      </w:r>
    </w:p>
    <w:p>
      <w:r>
        <w:t>Pós‑Incidente:</w:t>
        <w:br/>
        <w:t>• Auditoria completa; reforço de segmentação; exercícios de restauração trimestrais.</w:t>
      </w:r>
    </w:p>
    <w:p>
      <w:pPr>
        <w:pStyle w:val="Heading2"/>
      </w:pPr>
      <w:r>
        <w:t>D.3 Exfiltração de Dados</w:t>
      </w:r>
    </w:p>
    <w:p>
      <w:r>
        <w:t>Detecção:</w:t>
        <w:br/>
        <w:t>• Alarmes de volume anómalo (NetFlow/Zeek); acessos a buckets S3 fora do padrão.</w:t>
      </w:r>
    </w:p>
    <w:p>
      <w:r>
        <w:t>Contenção:</w:t>
        <w:br/>
        <w:t>• Cortar chaves/API suspeitas; bloquear egress temporário por tag/namespace.</w:t>
      </w:r>
    </w:p>
    <w:p>
      <w:r>
        <w:t>Erradicação:</w:t>
        <w:br/>
        <w:t>• Revogar chaves; rotação de segredos; varrimento de logs para âmbitos afectados.</w:t>
      </w:r>
    </w:p>
    <w:p>
      <w:r>
        <w:t>Recuperação:</w:t>
        <w:br/>
        <w:t>• Notificar titulares e autoridades conforme RGPD; restaurar configurações seguras.</w:t>
      </w:r>
    </w:p>
    <w:p>
      <w:r>
        <w:t>Pós‑Incidente:</w:t>
        <w:br/>
        <w:t>• Revisão de políticas de minimização e *data loss prevention*; etiquetagem e encriptação por classificação.</w:t>
      </w:r>
    </w:p>
    <w:p>
      <w:pPr>
        <w:pStyle w:val="Heading2"/>
      </w:pPr>
      <w:r>
        <w:t>D.4 DDoS a Serviços Públicos</w:t>
      </w:r>
    </w:p>
    <w:p>
      <w:r>
        <w:t>Detecção:</w:t>
        <w:br/>
        <w:t>• Picos de tráfego e queda de SLI de disponibilidade.</w:t>
      </w:r>
    </w:p>
    <w:p>
      <w:r>
        <w:t>Contenção:</w:t>
        <w:br/>
        <w:t>• Activar protecções no gateway/WAF; *rate‑limit* agressivo; *caching* quando possível.</w:t>
      </w:r>
    </w:p>
    <w:p>
      <w:r>
        <w:t>Erradicação:</w:t>
        <w:br/>
        <w:t>• Ajustar *autoscaling*; activar *shields* de upstreams.</w:t>
      </w:r>
    </w:p>
    <w:p>
      <w:r>
        <w:t>Recuperação:</w:t>
        <w:br/>
        <w:t>• Comunicar estado no portal de estado público; manter canais alternativos.</w:t>
      </w:r>
    </w:p>
    <w:p>
      <w:r>
        <w:t>Pós‑Incidente:</w:t>
        <w:br/>
        <w:t>• *Post‑mortem* com métricas de saturação e melhorias no *capacity planning*.</w:t>
      </w:r>
    </w:p>
    <w:p>
      <w:pPr>
        <w:pStyle w:val="Heading2"/>
      </w:pPr>
      <w:r>
        <w:t>D.5 RACI (papéis)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949"/>
        <w:gridCol w:w="1949"/>
        <w:gridCol w:w="1949"/>
        <w:gridCol w:w="1949"/>
        <w:gridCol w:w="1949"/>
      </w:tblGrid>
      <w:tr>
        <w:tc>
          <w:tcPr>
            <w:tcW w:type="dxa" w:w="1949"/>
          </w:tcPr>
          <w:p>
            <w:r>
              <w:t>Tarefa</w:t>
            </w:r>
          </w:p>
        </w:tc>
        <w:tc>
          <w:tcPr>
            <w:tcW w:type="dxa" w:w="1949"/>
          </w:tcPr>
          <w:p>
            <w:r>
              <w:t>Responsável (R)</w:t>
            </w:r>
          </w:p>
        </w:tc>
        <w:tc>
          <w:tcPr>
            <w:tcW w:type="dxa" w:w="1949"/>
          </w:tcPr>
          <w:p>
            <w:r>
              <w:t>Aprovador (A)</w:t>
            </w:r>
          </w:p>
        </w:tc>
        <w:tc>
          <w:tcPr>
            <w:tcW w:type="dxa" w:w="1949"/>
          </w:tcPr>
          <w:p>
            <w:r>
              <w:t>Consultado (C)</w:t>
            </w:r>
          </w:p>
        </w:tc>
        <w:tc>
          <w:tcPr>
            <w:tcW w:type="dxa" w:w="1949"/>
          </w:tcPr>
          <w:p>
            <w:r>
              <w:t>Informado (I)</w:t>
            </w:r>
          </w:p>
        </w:tc>
      </w:tr>
      <w:tr>
        <w:tc>
          <w:tcPr>
            <w:tcW w:type="dxa" w:w="1949"/>
          </w:tcPr>
          <w:p>
            <w:r>
              <w:t>Classificação do incidente</w:t>
            </w:r>
          </w:p>
        </w:tc>
        <w:tc>
          <w:tcPr>
            <w:tcW w:type="dxa" w:w="1949"/>
          </w:tcPr>
          <w:p>
            <w:r>
              <w:t>SOC Nível 2</w:t>
            </w:r>
          </w:p>
        </w:tc>
        <w:tc>
          <w:tcPr>
            <w:tcW w:type="dxa" w:w="1949"/>
          </w:tcPr>
          <w:p>
            <w:r>
              <w:t>Gestor de Segurança</w:t>
            </w:r>
          </w:p>
        </w:tc>
        <w:tc>
          <w:tcPr>
            <w:tcW w:type="dxa" w:w="1949"/>
          </w:tcPr>
          <w:p>
            <w:r>
              <w:t>Equipa de Domínio</w:t>
            </w:r>
          </w:p>
        </w:tc>
        <w:tc>
          <w:tcPr>
            <w:tcW w:type="dxa" w:w="1949"/>
          </w:tcPr>
          <w:p>
            <w:r>
              <w:t>Comunicação</w:t>
            </w:r>
          </w:p>
        </w:tc>
      </w:tr>
      <w:tr>
        <w:tc>
          <w:tcPr>
            <w:tcW w:type="dxa" w:w="1949"/>
          </w:tcPr>
          <w:p>
            <w:r>
              <w:t>Contenção técnica</w:t>
            </w:r>
          </w:p>
        </w:tc>
        <w:tc>
          <w:tcPr>
            <w:tcW w:type="dxa" w:w="1949"/>
          </w:tcPr>
          <w:p>
            <w:r>
              <w:t>Plataforma/NetOps</w:t>
            </w:r>
          </w:p>
        </w:tc>
        <w:tc>
          <w:tcPr>
            <w:tcW w:type="dxa" w:w="1949"/>
          </w:tcPr>
          <w:p>
            <w:r>
              <w:t>Gestor de Segurança</w:t>
            </w:r>
          </w:p>
        </w:tc>
        <w:tc>
          <w:tcPr>
            <w:tcW w:type="dxa" w:w="1949"/>
          </w:tcPr>
          <w:p>
            <w:r>
              <w:t>Domínio afectado</w:t>
            </w:r>
          </w:p>
        </w:tc>
        <w:tc>
          <w:tcPr>
            <w:tcW w:type="dxa" w:w="1949"/>
          </w:tcPr>
          <w:p>
            <w:r>
              <w:t>Negócio/Executivo</w:t>
            </w:r>
          </w:p>
        </w:tc>
      </w:tr>
      <w:tr>
        <w:tc>
          <w:tcPr>
            <w:tcW w:type="dxa" w:w="1949"/>
          </w:tcPr>
          <w:p>
            <w:r>
              <w:t>Notificação RGPD</w:t>
            </w:r>
          </w:p>
        </w:tc>
        <w:tc>
          <w:tcPr>
            <w:tcW w:type="dxa" w:w="1949"/>
          </w:tcPr>
          <w:p>
            <w:r>
              <w:t>DPO</w:t>
            </w:r>
          </w:p>
        </w:tc>
        <w:tc>
          <w:tcPr>
            <w:tcW w:type="dxa" w:w="1949"/>
          </w:tcPr>
          <w:p>
            <w:r>
              <w:t>Direcção</w:t>
            </w:r>
          </w:p>
        </w:tc>
        <w:tc>
          <w:tcPr>
            <w:tcW w:type="dxa" w:w="1949"/>
          </w:tcPr>
          <w:p>
            <w:r>
              <w:t>Jurídico</w:t>
            </w:r>
          </w:p>
        </w:tc>
        <w:tc>
          <w:tcPr>
            <w:tcW w:type="dxa" w:w="1949"/>
          </w:tcPr>
          <w:p>
            <w:r>
              <w:t>Autoridade/Utentes</w:t>
            </w:r>
          </w:p>
        </w:tc>
      </w:tr>
      <w:tr>
        <w:tc>
          <w:tcPr>
            <w:tcW w:type="dxa" w:w="1949"/>
          </w:tcPr>
          <w:p>
            <w:r>
              <w:t>*Post‑mortem*</w:t>
            </w:r>
          </w:p>
        </w:tc>
        <w:tc>
          <w:tcPr>
            <w:tcW w:type="dxa" w:w="1949"/>
          </w:tcPr>
          <w:p>
            <w:r>
              <w:t>Equipa de Domínio</w:t>
            </w:r>
          </w:p>
        </w:tc>
        <w:tc>
          <w:tcPr>
            <w:tcW w:type="dxa" w:w="1949"/>
          </w:tcPr>
          <w:p>
            <w:r>
              <w:t>Direcção Técnica</w:t>
            </w:r>
          </w:p>
        </w:tc>
        <w:tc>
          <w:tcPr>
            <w:tcW w:type="dxa" w:w="1949"/>
          </w:tcPr>
          <w:p>
            <w:r>
              <w:t>Segurança/Plataforma</w:t>
            </w:r>
          </w:p>
        </w:tc>
        <w:tc>
          <w:tcPr>
            <w:tcW w:type="dxa" w:w="1949"/>
          </w:tcPr>
          <w:p>
            <w:r>
              <w:t>Executivo</w:t>
            </w:r>
          </w:p>
        </w:tc>
      </w:tr>
    </w:tbl>
    <w:sectPr w:rsidR="00FC693F" w:rsidRPr="0006063C" w:rsidSect="00034616">
      <w:pgSz w:w="12240" w:h="15840"/>
      <w:pgMar w:top="1247" w:right="1247" w:bottom="1134" w:left="12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FFCC66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CC66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FCC66"/>
      <w:sz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