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FFCC66"/>
          <w:sz w:val="48"/>
        </w:rPr>
        <w:t>Anexo B — Modelo de SLO e Orçamento de Erros</w:t>
      </w:r>
    </w:p>
    <w:p>
      <w:pPr>
        <w:jc w:val="center"/>
      </w:pPr>
      <w:r>
        <w:rPr>
          <w:color w:val="E8EEF4"/>
          <w:sz w:val="24"/>
        </w:rPr>
        <w:t>Definição de SLI/SLO, janelas e alertas</w:t>
      </w:r>
    </w:p>
    <w:p>
      <w:pPr>
        <w:jc w:val="center"/>
      </w:pPr>
      <w:r>
        <w:rPr>
          <w:color w:val="B4BEC8"/>
          <w:sz w:val="20"/>
        </w:rPr>
        <w:t>Data: 06/11/2025</w:t>
      </w:r>
    </w:p>
    <w:p>
      <w:pPr>
        <w:pStyle w:val="Heading2"/>
      </w:pPr>
      <w:r>
        <w:t>B.1 Definições</w:t>
      </w:r>
    </w:p>
    <w:p>
      <w:r>
        <w:t>• SLI: Indicador de Nível de Serviço (p.ex., disponibilidade, latência p95, taxa de erros).</w:t>
      </w:r>
    </w:p>
    <w:p>
      <w:r>
        <w:t>• SLO: Meta mensurável para um SLI (p.ex., disponibilidade ≥ 99,95%/30 dias).</w:t>
      </w:r>
    </w:p>
    <w:p>
      <w:r>
        <w:t>• Orçamento de Erros: 1 − SLO (p.ex., 0,05% de indisponibilidade permitido por janela).</w:t>
      </w:r>
    </w:p>
    <w:p>
      <w:pPr>
        <w:pStyle w:val="Heading2"/>
      </w:pPr>
      <w:r>
        <w:t>B.2 Tabela de SLO (exemplo)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624"/>
        <w:gridCol w:w="1624"/>
        <w:gridCol w:w="1624"/>
        <w:gridCol w:w="1624"/>
        <w:gridCol w:w="1624"/>
        <w:gridCol w:w="1624"/>
      </w:tblGrid>
      <w:tr>
        <w:tc>
          <w:tcPr>
            <w:tcW w:type="dxa" w:w="1624"/>
          </w:tcPr>
          <w:p>
            <w:r>
              <w:t>Serviço</w:t>
            </w:r>
          </w:p>
        </w:tc>
        <w:tc>
          <w:tcPr>
            <w:tcW w:type="dxa" w:w="1624"/>
          </w:tcPr>
          <w:p>
            <w:r>
              <w:t>SLI</w:t>
            </w:r>
          </w:p>
        </w:tc>
        <w:tc>
          <w:tcPr>
            <w:tcW w:type="dxa" w:w="1624"/>
          </w:tcPr>
          <w:p>
            <w:r>
              <w:t>SLO</w:t>
            </w:r>
          </w:p>
        </w:tc>
        <w:tc>
          <w:tcPr>
            <w:tcW w:type="dxa" w:w="1624"/>
          </w:tcPr>
          <w:p>
            <w:r>
              <w:t>Janela</w:t>
            </w:r>
          </w:p>
        </w:tc>
        <w:tc>
          <w:tcPr>
            <w:tcW w:type="dxa" w:w="1624"/>
          </w:tcPr>
          <w:p>
            <w:r>
              <w:t>Medição</w:t>
            </w:r>
          </w:p>
        </w:tc>
        <w:tc>
          <w:tcPr>
            <w:tcW w:type="dxa" w:w="1624"/>
          </w:tcPr>
          <w:p>
            <w:r>
              <w:t>Alertas</w:t>
            </w:r>
          </w:p>
        </w:tc>
      </w:tr>
      <w:tr>
        <w:tc>
          <w:tcPr>
            <w:tcW w:type="dxa" w:w="1624"/>
          </w:tcPr>
          <w:p>
            <w:r>
              <w:t>Identidade</w:t>
            </w:r>
          </w:p>
        </w:tc>
        <w:tc>
          <w:tcPr>
            <w:tcW w:type="dxa" w:w="1624"/>
          </w:tcPr>
          <w:p>
            <w:r>
              <w:t>Disponibilidade</w:t>
            </w:r>
          </w:p>
        </w:tc>
        <w:tc>
          <w:tcPr>
            <w:tcW w:type="dxa" w:w="1624"/>
          </w:tcPr>
          <w:p>
            <w:r>
              <w:t>≥ 99,99%</w:t>
            </w:r>
          </w:p>
        </w:tc>
        <w:tc>
          <w:tcPr>
            <w:tcW w:type="dxa" w:w="1624"/>
          </w:tcPr>
          <w:p>
            <w:r>
              <w:t>30 dias</w:t>
            </w:r>
          </w:p>
        </w:tc>
        <w:tc>
          <w:tcPr>
            <w:tcW w:type="dxa" w:w="1624"/>
          </w:tcPr>
          <w:p>
            <w:r>
              <w:t>Probes / Apdex</w:t>
            </w:r>
          </w:p>
        </w:tc>
        <w:tc>
          <w:tcPr>
            <w:tcW w:type="dxa" w:w="1624"/>
          </w:tcPr>
          <w:p>
            <w:r>
              <w:t>Budget burn &gt; 2%/h</w:t>
            </w:r>
          </w:p>
        </w:tc>
      </w:tr>
      <w:tr>
        <w:tc>
          <w:tcPr>
            <w:tcW w:type="dxa" w:w="1624"/>
          </w:tcPr>
          <w:p>
            <w:r>
              <w:t>Portal</w:t>
            </w:r>
          </w:p>
        </w:tc>
        <w:tc>
          <w:tcPr>
            <w:tcW w:type="dxa" w:w="1624"/>
          </w:tcPr>
          <w:p>
            <w:r>
              <w:t>Latência p95</w:t>
            </w:r>
          </w:p>
        </w:tc>
        <w:tc>
          <w:tcPr>
            <w:tcW w:type="dxa" w:w="1624"/>
          </w:tcPr>
          <w:p>
            <w:r>
              <w:t>≤ 300 ms</w:t>
            </w:r>
          </w:p>
        </w:tc>
        <w:tc>
          <w:tcPr>
            <w:tcW w:type="dxa" w:w="1624"/>
          </w:tcPr>
          <w:p>
            <w:r>
              <w:t>7 dias</w:t>
            </w:r>
          </w:p>
        </w:tc>
        <w:tc>
          <w:tcPr>
            <w:tcW w:type="dxa" w:w="1624"/>
          </w:tcPr>
          <w:p>
            <w:r>
              <w:t>RUM/Otel traces</w:t>
            </w:r>
          </w:p>
        </w:tc>
        <w:tc>
          <w:tcPr>
            <w:tcW w:type="dxa" w:w="1624"/>
          </w:tcPr>
          <w:p>
            <w:r>
              <w:t>p95 &gt; 300ms por 10m</w:t>
            </w:r>
          </w:p>
        </w:tc>
      </w:tr>
      <w:tr>
        <w:tc>
          <w:tcPr>
            <w:tcW w:type="dxa" w:w="1624"/>
          </w:tcPr>
          <w:p>
            <w:r>
              <w:t>APIs Domínio</w:t>
            </w:r>
          </w:p>
        </w:tc>
        <w:tc>
          <w:tcPr>
            <w:tcW w:type="dxa" w:w="1624"/>
          </w:tcPr>
          <w:p>
            <w:r>
              <w:t>Taxa de erros</w:t>
            </w:r>
          </w:p>
        </w:tc>
        <w:tc>
          <w:tcPr>
            <w:tcW w:type="dxa" w:w="1624"/>
          </w:tcPr>
          <w:p>
            <w:r>
              <w:t>≤ 0,1%</w:t>
            </w:r>
          </w:p>
        </w:tc>
        <w:tc>
          <w:tcPr>
            <w:tcW w:type="dxa" w:w="1624"/>
          </w:tcPr>
          <w:p>
            <w:r>
              <w:t>30 dias</w:t>
            </w:r>
          </w:p>
        </w:tc>
        <w:tc>
          <w:tcPr>
            <w:tcW w:type="dxa" w:w="1624"/>
          </w:tcPr>
          <w:p>
            <w:r>
              <w:t>5xx/total</w:t>
            </w:r>
          </w:p>
        </w:tc>
        <w:tc>
          <w:tcPr>
            <w:tcW w:type="dxa" w:w="1624"/>
          </w:tcPr>
          <w:p>
            <w:r>
              <w:t>Erro &gt; 0,5% 5m</w:t>
            </w:r>
          </w:p>
        </w:tc>
      </w:tr>
      <w:tr>
        <w:tc>
          <w:tcPr>
            <w:tcW w:type="dxa" w:w="1624"/>
          </w:tcPr>
          <w:p>
            <w:r>
              <w:t>PostgreSQL</w:t>
            </w:r>
          </w:p>
        </w:tc>
        <w:tc>
          <w:tcPr>
            <w:tcW w:type="dxa" w:w="1624"/>
          </w:tcPr>
          <w:p>
            <w:r>
              <w:t>Tempo de restauro</w:t>
            </w:r>
          </w:p>
        </w:tc>
        <w:tc>
          <w:tcPr>
            <w:tcW w:type="dxa" w:w="1624"/>
          </w:tcPr>
          <w:p>
            <w:r>
              <w:t>≤ 15 min</w:t>
            </w:r>
          </w:p>
        </w:tc>
        <w:tc>
          <w:tcPr>
            <w:tcW w:type="dxa" w:w="1624"/>
          </w:tcPr>
          <w:p>
            <w:r>
              <w:t>Mensal (DR)</w:t>
            </w:r>
          </w:p>
        </w:tc>
        <w:tc>
          <w:tcPr>
            <w:tcW w:type="dxa" w:w="1624"/>
          </w:tcPr>
          <w:p>
            <w:r>
              <w:t>Runbook DR</w:t>
            </w:r>
          </w:p>
        </w:tc>
        <w:tc>
          <w:tcPr>
            <w:tcW w:type="dxa" w:w="1624"/>
          </w:tcPr>
          <w:p>
            <w:r>
              <w:t>Falha DR test</w:t>
            </w:r>
          </w:p>
        </w:tc>
      </w:tr>
    </w:tbl>
    <w:p>
      <w:pPr>
        <w:pStyle w:val="Heading2"/>
      </w:pPr>
      <w:r>
        <w:t>B.3 Fórmulas e Regras</w:t>
      </w:r>
    </w:p>
    <w:p>
      <w:r>
        <w:rPr>
          <w:rFonts w:ascii="Courier New" w:hAnsi="Courier New"/>
          <w:sz w:val="20"/>
        </w:rPr>
        <w:t>Disponibilidade (%) = 100 × (1 − Tempo Indisponível / Tempo Total)</w:t>
      </w:r>
    </w:p>
    <w:p>
      <w:r>
        <w:rPr>
          <w:rFonts w:ascii="Courier New" w:hAnsi="Courier New"/>
          <w:sz w:val="20"/>
        </w:rPr>
        <w:t>Taxa de Erros (%) = 100 × (5xx + timeouts) / total de pedidos</w:t>
      </w:r>
    </w:p>
    <w:p>
      <w:r>
        <w:rPr>
          <w:rFonts w:ascii="Courier New" w:hAnsi="Courier New"/>
          <w:sz w:val="20"/>
        </w:rPr>
        <w:t>Queima de Orçamento (burn rate) = Erros Observados / Orçamento Disponível</w:t>
      </w:r>
    </w:p>
    <w:p>
      <w:pPr>
        <w:pStyle w:val="Heading2"/>
      </w:pPr>
      <w:r>
        <w:t>B.4 Política de Alertas (exemplo)</w:t>
      </w:r>
    </w:p>
    <w:p>
      <w:r>
        <w:t>• Alertas rápidos (5m) para sinais agudos; alertas lentos (1–6h) para tendência de queima de orçamento.</w:t>
      </w:r>
    </w:p>
    <w:p>
      <w:r>
        <w:t>• Escalonamento: Nível 1 (on-call), Nível 2 (equipa de domínio), Nível 3 (plataforma/DBA).</w:t>
      </w:r>
    </w:p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